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44"/>
          <w:szCs w:val="44"/>
        </w:rPr>
      </w:pPr>
      <w:r>
        <w:rPr>
          <w:rFonts w:hint="eastAsia" w:asciiTheme="minorEastAsia" w:hAnsiTheme="minorEastAsia"/>
          <w:b/>
          <w:bCs/>
          <w:sz w:val="44"/>
          <w:szCs w:val="44"/>
        </w:rPr>
        <w:t>新蔡县人民法院</w:t>
      </w:r>
    </w:p>
    <w:p>
      <w:pPr>
        <w:spacing w:line="360" w:lineRule="auto"/>
        <w:jc w:val="center"/>
        <w:rPr>
          <w:rFonts w:hint="eastAsia" w:asciiTheme="minorEastAsia" w:hAnsiTheme="minorEastAsia"/>
          <w:b/>
          <w:bCs/>
          <w:sz w:val="44"/>
          <w:szCs w:val="44"/>
          <w:lang w:val="en-US" w:eastAsia="zh-CN"/>
        </w:rPr>
      </w:pPr>
      <w:r>
        <w:rPr>
          <w:rFonts w:hint="eastAsia" w:asciiTheme="minorEastAsia" w:hAnsiTheme="minorEastAsia"/>
          <w:b/>
          <w:bCs/>
          <w:sz w:val="44"/>
          <w:szCs w:val="44"/>
          <w:lang w:val="en-US" w:eastAsia="zh-CN"/>
        </w:rPr>
        <w:t>审判法庭综合楼院内绿化建设设计方案</w:t>
      </w:r>
    </w:p>
    <w:p>
      <w:pPr>
        <w:spacing w:line="360" w:lineRule="auto"/>
        <w:jc w:val="center"/>
        <w:rPr>
          <w:rFonts w:hint="eastAsia" w:asciiTheme="minorEastAsia" w:hAnsiTheme="minorEastAsia"/>
          <w:b/>
          <w:bCs/>
          <w:sz w:val="44"/>
          <w:szCs w:val="44"/>
        </w:rPr>
      </w:pPr>
      <w:r>
        <w:rPr>
          <w:rFonts w:hint="eastAsia" w:asciiTheme="minorEastAsia" w:hAnsiTheme="minorEastAsia"/>
          <w:b/>
          <w:bCs/>
          <w:sz w:val="44"/>
          <w:szCs w:val="44"/>
        </w:rPr>
        <w:t>具体要求</w:t>
      </w:r>
    </w:p>
    <w:p>
      <w:pPr>
        <w:widowControl/>
        <w:numPr>
          <w:ilvl w:val="0"/>
          <w:numId w:val="1"/>
        </w:numPr>
        <w:spacing w:line="360" w:lineRule="auto"/>
        <w:jc w:val="left"/>
        <w:rPr>
          <w:rFonts w:asciiTheme="minorEastAsia" w:hAnsiTheme="minorEastAsia"/>
          <w:b/>
          <w:sz w:val="24"/>
          <w:szCs w:val="24"/>
        </w:rPr>
      </w:pPr>
      <w:r>
        <w:rPr>
          <w:rFonts w:hint="eastAsia" w:asciiTheme="minorEastAsia" w:hAnsiTheme="minorEastAsia"/>
          <w:b/>
          <w:sz w:val="24"/>
          <w:szCs w:val="24"/>
          <w:lang w:val="en-US" w:eastAsia="zh-CN"/>
        </w:rPr>
        <w:t>项目基本情况</w:t>
      </w:r>
      <w:r>
        <w:rPr>
          <w:rFonts w:asciiTheme="minorEastAsia" w:hAnsiTheme="minorEastAsia"/>
          <w:b/>
          <w:sz w:val="24"/>
          <w:szCs w:val="24"/>
        </w:rPr>
        <w:t>：</w:t>
      </w:r>
    </w:p>
    <w:p>
      <w:pPr>
        <w:widowControl/>
        <w:numPr>
          <w:ilvl w:val="0"/>
          <w:numId w:val="2"/>
        </w:numPr>
        <w:shd w:val="clear" w:color="auto" w:fill="FFFFFF"/>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招标内容：法院审判法庭综合楼院内绿化建设设计方案。</w:t>
      </w:r>
    </w:p>
    <w:p>
      <w:pPr>
        <w:widowControl/>
        <w:numPr>
          <w:ilvl w:val="0"/>
          <w:numId w:val="0"/>
        </w:numPr>
        <w:shd w:val="clear" w:color="auto" w:fill="FFFFFF"/>
        <w:spacing w:line="360" w:lineRule="auto"/>
        <w:ind w:firstLine="480" w:firstLineChars="20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2、基本情况：主要对本法院审判法庭综合楼院内绿化建设设计，占地面积约3万平方米，具体包括停车场、景观绿化、小游园、院内道路、大门、运动场所、机关餐厅</w:t>
      </w:r>
      <w:bookmarkStart w:id="0" w:name="_GoBack"/>
      <w:bookmarkEnd w:id="0"/>
      <w:r>
        <w:rPr>
          <w:rFonts w:hint="eastAsia" w:asciiTheme="minorEastAsia" w:hAnsiTheme="minorEastAsia"/>
          <w:sz w:val="24"/>
          <w:szCs w:val="24"/>
          <w:lang w:val="en-US" w:eastAsia="zh-CN"/>
        </w:rPr>
        <w:t>等。</w:t>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r>
        <w:rPr>
          <w:rFonts w:hint="eastAsia" w:asciiTheme="minorEastAsia" w:hAnsiTheme="minorEastAsia"/>
          <w:sz w:val="24"/>
          <w:szCs w:val="24"/>
          <w:lang w:val="en-US" w:eastAsia="zh-CN"/>
        </w:rPr>
        <w:tab/>
      </w:r>
    </w:p>
    <w:p>
      <w:pPr>
        <w:widowControl/>
        <w:numPr>
          <w:ilvl w:val="0"/>
          <w:numId w:val="0"/>
        </w:numPr>
        <w:shd w:val="clear" w:color="auto" w:fill="FFFFFF"/>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3、质量标准：设计需要符合最高人民法院和河南省高级人民法院关于法院单位和行业标准，符合国家及行业设计、施工验收规范，达到合格标准。</w:t>
      </w:r>
    </w:p>
    <w:p>
      <w:pPr>
        <w:widowControl/>
        <w:numPr>
          <w:ilvl w:val="0"/>
          <w:numId w:val="0"/>
        </w:numPr>
        <w:shd w:val="clear" w:color="auto" w:fill="FFFFFF"/>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4、本项目是否接受联合体投标：否 。</w:t>
      </w:r>
    </w:p>
    <w:p>
      <w:pPr>
        <w:widowControl/>
        <w:numPr>
          <w:ilvl w:val="0"/>
          <w:numId w:val="0"/>
        </w:numPr>
        <w:shd w:val="clear" w:color="auto" w:fill="FFFFFF"/>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5、本项目不得分包及转包。</w:t>
      </w:r>
    </w:p>
    <w:p>
      <w:pPr>
        <w:widowControl/>
        <w:numPr>
          <w:ilvl w:val="0"/>
          <w:numId w:val="0"/>
        </w:numPr>
        <w:shd w:val="clear" w:color="auto" w:fill="FFFFFF"/>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6、现场踏勘：本项目不统一安排踏勘，由投标单位自行踏勘。</w:t>
      </w:r>
    </w:p>
    <w:p>
      <w:pPr>
        <w:widowControl/>
        <w:numPr>
          <w:ilvl w:val="0"/>
          <w:numId w:val="0"/>
        </w:numPr>
        <w:shd w:val="clear" w:color="auto" w:fill="FFFFFF"/>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7、服务期限：合同签订后15日内完成设计成果交付。</w:t>
      </w:r>
    </w:p>
    <w:p>
      <w:pPr>
        <w:widowControl/>
        <w:shd w:val="clear" w:color="auto" w:fill="FFFFFF"/>
        <w:spacing w:line="360" w:lineRule="auto"/>
        <w:ind w:firstLine="420"/>
        <w:jc w:val="left"/>
        <w:rPr>
          <w:rFonts w:asciiTheme="minorEastAsia" w:hAnsiTheme="minorEastAsia"/>
          <w:sz w:val="24"/>
          <w:szCs w:val="24"/>
        </w:rPr>
      </w:pPr>
    </w:p>
    <w:p>
      <w:pPr>
        <w:widowControl/>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lang w:val="en-US" w:eastAsia="zh-CN"/>
        </w:rPr>
        <w:t>二</w:t>
      </w:r>
      <w:r>
        <w:rPr>
          <w:rFonts w:hint="eastAsia" w:asciiTheme="minorEastAsia" w:hAnsiTheme="minorEastAsia"/>
          <w:b/>
          <w:sz w:val="24"/>
          <w:szCs w:val="24"/>
        </w:rPr>
        <w:t>、</w:t>
      </w:r>
      <w:r>
        <w:rPr>
          <w:rFonts w:hint="eastAsia" w:asciiTheme="minorEastAsia" w:hAnsiTheme="minorEastAsia"/>
          <w:b/>
          <w:sz w:val="24"/>
          <w:szCs w:val="24"/>
          <w:lang w:val="en-US" w:eastAsia="zh-CN"/>
        </w:rPr>
        <w:t>设计单位应</w:t>
      </w:r>
      <w:r>
        <w:rPr>
          <w:rFonts w:hint="eastAsia" w:asciiTheme="minorEastAsia" w:hAnsiTheme="minorEastAsia"/>
          <w:b/>
          <w:sz w:val="24"/>
          <w:szCs w:val="24"/>
        </w:rPr>
        <w:t>满足以下</w:t>
      </w:r>
      <w:r>
        <w:rPr>
          <w:rFonts w:hint="eastAsia" w:asciiTheme="minorEastAsia" w:hAnsiTheme="minorEastAsia"/>
          <w:b/>
          <w:sz w:val="24"/>
          <w:szCs w:val="24"/>
          <w:lang w:val="en-US" w:eastAsia="zh-CN"/>
        </w:rPr>
        <w:t>条件</w:t>
      </w:r>
      <w:r>
        <w:rPr>
          <w:rFonts w:hint="eastAsia" w:asciiTheme="minorEastAsia" w:hAnsiTheme="minorEastAsia"/>
          <w:b/>
          <w:sz w:val="24"/>
          <w:szCs w:val="24"/>
        </w:rPr>
        <w:t>：</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1、</w:t>
      </w:r>
      <w:r>
        <w:rPr>
          <w:rFonts w:hint="eastAsia" w:asciiTheme="minorEastAsia" w:hAnsiTheme="minorEastAsia"/>
          <w:sz w:val="24"/>
          <w:szCs w:val="24"/>
          <w:lang w:eastAsia="zh-CN"/>
        </w:rPr>
        <w:t>设计单位</w:t>
      </w:r>
      <w:r>
        <w:rPr>
          <w:rFonts w:hint="eastAsia" w:asciiTheme="minorEastAsia" w:hAnsiTheme="minorEastAsia"/>
          <w:sz w:val="24"/>
          <w:szCs w:val="24"/>
        </w:rPr>
        <w:t>须提供有效的营业执照</w:t>
      </w:r>
      <w:r>
        <w:rPr>
          <w:rFonts w:hint="eastAsia" w:asciiTheme="minorEastAsia" w:hAnsiTheme="minorEastAsia"/>
          <w:sz w:val="24"/>
          <w:szCs w:val="24"/>
          <w:lang w:eastAsia="zh-CN"/>
        </w:rPr>
        <w:t>。</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2、</w:t>
      </w:r>
      <w:r>
        <w:rPr>
          <w:rFonts w:hint="eastAsia" w:asciiTheme="minorEastAsia" w:hAnsiTheme="minorEastAsia"/>
          <w:sz w:val="24"/>
          <w:szCs w:val="24"/>
          <w:lang w:eastAsia="zh-CN"/>
        </w:rPr>
        <w:t>设计单位</w:t>
      </w:r>
      <w:r>
        <w:rPr>
          <w:rFonts w:hint="eastAsia" w:asciiTheme="minorEastAsia" w:hAnsiTheme="minorEastAsia"/>
          <w:sz w:val="24"/>
          <w:szCs w:val="24"/>
        </w:rPr>
        <w:t>须提供</w:t>
      </w:r>
      <w:r>
        <w:rPr>
          <w:rFonts w:hint="eastAsia" w:asciiTheme="minorEastAsia" w:hAnsiTheme="minorEastAsia"/>
          <w:sz w:val="24"/>
          <w:szCs w:val="24"/>
          <w:lang w:val="en-US" w:eastAsia="zh-CN"/>
        </w:rPr>
        <w:t>建筑（绿化）工程设计专项乙级及以上资质。</w:t>
      </w:r>
    </w:p>
    <w:p>
      <w:pPr>
        <w:spacing w:line="36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sz w:val="24"/>
          <w:szCs w:val="24"/>
        </w:rPr>
        <w:t>3</w:t>
      </w:r>
      <w:r>
        <w:rPr>
          <w:rFonts w:hint="eastAsia" w:asciiTheme="minorEastAsia" w:hAnsiTheme="minorEastAsia"/>
          <w:sz w:val="24"/>
          <w:szCs w:val="24"/>
        </w:rPr>
        <w:t>、</w:t>
      </w:r>
      <w:r>
        <w:rPr>
          <w:rFonts w:hint="eastAsia" w:asciiTheme="minorEastAsia" w:hAnsiTheme="minorEastAsia"/>
          <w:sz w:val="24"/>
          <w:szCs w:val="24"/>
          <w:lang w:eastAsia="zh-CN"/>
        </w:rPr>
        <w:t>设计单位</w:t>
      </w:r>
      <w:r>
        <w:rPr>
          <w:rFonts w:hint="eastAsia" w:asciiTheme="minorEastAsia" w:hAnsiTheme="minorEastAsia"/>
          <w:sz w:val="24"/>
          <w:szCs w:val="24"/>
        </w:rPr>
        <w:t>须提供202</w:t>
      </w:r>
      <w:r>
        <w:rPr>
          <w:rFonts w:asciiTheme="minorEastAsia" w:hAnsiTheme="minorEastAsia"/>
          <w:sz w:val="24"/>
          <w:szCs w:val="24"/>
        </w:rPr>
        <w:t>2</w:t>
      </w:r>
      <w:r>
        <w:rPr>
          <w:rFonts w:hint="eastAsia" w:asciiTheme="minorEastAsia" w:hAnsiTheme="minorEastAsia"/>
          <w:sz w:val="24"/>
          <w:szCs w:val="24"/>
        </w:rPr>
        <w:t>年1月1日以来任意一个月份依法缴纳税收和社会保障资金的的证明材料</w:t>
      </w:r>
      <w:r>
        <w:rPr>
          <w:rFonts w:hint="eastAsia" w:asciiTheme="minorEastAsia" w:hAnsiTheme="minorEastAsia"/>
          <w:sz w:val="24"/>
          <w:szCs w:val="24"/>
          <w:lang w:eastAsia="zh-CN"/>
        </w:rPr>
        <w:t>。</w:t>
      </w:r>
    </w:p>
    <w:p>
      <w:pPr>
        <w:spacing w:line="36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sz w:val="24"/>
          <w:szCs w:val="24"/>
        </w:rPr>
        <w:t>4</w:t>
      </w:r>
      <w:r>
        <w:rPr>
          <w:rFonts w:hint="eastAsia" w:asciiTheme="minorEastAsia" w:hAnsiTheme="minorEastAsia"/>
          <w:sz w:val="24"/>
          <w:szCs w:val="24"/>
        </w:rPr>
        <w:t>、</w:t>
      </w:r>
      <w:r>
        <w:rPr>
          <w:rFonts w:hint="eastAsia" w:asciiTheme="minorEastAsia" w:hAnsiTheme="minorEastAsia"/>
          <w:sz w:val="24"/>
          <w:szCs w:val="24"/>
          <w:lang w:eastAsia="zh-CN"/>
        </w:rPr>
        <w:t>设计单位</w:t>
      </w:r>
      <w:r>
        <w:rPr>
          <w:rFonts w:hint="eastAsia" w:asciiTheme="minorEastAsia" w:hAnsiTheme="minorEastAsia"/>
          <w:sz w:val="24"/>
          <w:szCs w:val="24"/>
        </w:rPr>
        <w:t>须提供2021年的经第三方审计机构出具的审计报告或202</w:t>
      </w:r>
      <w:r>
        <w:rPr>
          <w:rFonts w:asciiTheme="minorEastAsia" w:hAnsiTheme="minorEastAsia"/>
          <w:sz w:val="24"/>
          <w:szCs w:val="24"/>
        </w:rPr>
        <w:t>1</w:t>
      </w:r>
      <w:r>
        <w:rPr>
          <w:rFonts w:hint="eastAsia" w:asciiTheme="minorEastAsia" w:hAnsiTheme="minorEastAsia"/>
          <w:sz w:val="24"/>
          <w:szCs w:val="24"/>
        </w:rPr>
        <w:t>年1月1日以来任意三个月的财务报表</w:t>
      </w:r>
      <w:r>
        <w:rPr>
          <w:rFonts w:hint="eastAsia" w:asciiTheme="minorEastAsia" w:hAnsiTheme="minorEastAsia"/>
          <w:sz w:val="24"/>
          <w:szCs w:val="24"/>
          <w:lang w:eastAsia="zh-CN"/>
        </w:rPr>
        <w:t>。</w:t>
      </w:r>
    </w:p>
    <w:p>
      <w:pPr>
        <w:spacing w:line="36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sz w:val="24"/>
          <w:szCs w:val="24"/>
        </w:rPr>
        <w:t>5</w:t>
      </w:r>
      <w:r>
        <w:rPr>
          <w:rFonts w:hint="eastAsia" w:asciiTheme="minorEastAsia" w:hAnsiTheme="minorEastAsia"/>
          <w:sz w:val="24"/>
          <w:szCs w:val="24"/>
        </w:rPr>
        <w:t>、参加政府采购活动前三年内，在经营活动中没有重大违法记录（提供书面声明函，格式自拟）</w:t>
      </w:r>
      <w:r>
        <w:rPr>
          <w:rFonts w:hint="eastAsia" w:asciiTheme="minorEastAsia" w:hAnsiTheme="minorEastAsia"/>
          <w:sz w:val="24"/>
          <w:szCs w:val="24"/>
          <w:lang w:eastAsia="zh-CN"/>
        </w:rPr>
        <w:t>。</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、本项目投标截止日期前未被列入失信被执行人、重大税收违法案件当事人名单、政府采购严重违法失信行为记录名单（提供中国</w:t>
      </w:r>
      <w:r>
        <w:rPr>
          <w:rFonts w:asciiTheme="minorEastAsia" w:hAnsiTheme="minorEastAsia"/>
          <w:sz w:val="24"/>
          <w:szCs w:val="24"/>
        </w:rPr>
        <w:t>执行信息公开网、</w:t>
      </w:r>
      <w:r>
        <w:rPr>
          <w:rFonts w:hint="eastAsia" w:asciiTheme="minorEastAsia" w:hAnsiTheme="minorEastAsia"/>
          <w:sz w:val="24"/>
          <w:szCs w:val="24"/>
        </w:rPr>
        <w:t>信用中国及中国政府采购网查询网页）。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9155"/>
    <w:multiLevelType w:val="singleLevel"/>
    <w:tmpl w:val="9D2B9155"/>
    <w:lvl w:ilvl="0" w:tentative="0">
      <w:start w:val="1"/>
      <w:numFmt w:val="chineseCounting"/>
      <w:suff w:val="nothing"/>
      <w:lvlText w:val="%1、"/>
      <w:lvlJc w:val="left"/>
      <w:rPr>
        <w:rFonts w:hint="eastAsia"/>
      </w:rPr>
    </w:lvl>
  </w:abstractNum>
  <w:abstractNum w:abstractNumId="1">
    <w:nsid w:val="D1CA3DE4"/>
    <w:multiLevelType w:val="singleLevel"/>
    <w:tmpl w:val="D1CA3DE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07645"/>
    <w:rsid w:val="1C6F5DFB"/>
    <w:rsid w:val="31F970AB"/>
    <w:rsid w:val="359C332E"/>
    <w:rsid w:val="35DC1D58"/>
    <w:rsid w:val="36441D6F"/>
    <w:rsid w:val="3C063EC6"/>
    <w:rsid w:val="5A7A4202"/>
    <w:rsid w:val="6655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2022-03-25T01:10:00Z</dcterms:created>
  <dc:creator>Lenovo</dc:creator>
  <cp:lastModifiedBy>Lenovo</cp:lastModifiedBy>
  <cp:lastPrinted>2022-06-07T07:54:00Z</cp:lastPrinted>
  <dcterms:modified xsi:type="dcterms:W3CDTF">2022-06-10T00:40:33Z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