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4C7" w:rsidRDefault="004624C7" w:rsidP="004624C7">
      <w:pPr>
        <w:jc w:val="center"/>
        <w:rPr>
          <w:rFonts w:ascii="宋体" w:eastAsia="宋体" w:hAnsi="宋体" w:hint="eastAsia"/>
          <w:b/>
          <w:sz w:val="44"/>
          <w:szCs w:val="44"/>
        </w:rPr>
      </w:pPr>
      <w:r w:rsidRPr="004624C7">
        <w:rPr>
          <w:rFonts w:ascii="宋体" w:eastAsia="宋体" w:hAnsi="宋体" w:hint="eastAsia"/>
          <w:b/>
          <w:sz w:val="44"/>
          <w:szCs w:val="44"/>
        </w:rPr>
        <w:t>新蔡县人民法院</w:t>
      </w:r>
      <w:proofErr w:type="gramStart"/>
      <w:r w:rsidRPr="004624C7">
        <w:rPr>
          <w:rFonts w:ascii="宋体" w:eastAsia="宋体" w:hAnsi="宋体" w:hint="eastAsia"/>
          <w:b/>
          <w:sz w:val="44"/>
          <w:szCs w:val="44"/>
        </w:rPr>
        <w:t>三级等保测评</w:t>
      </w:r>
      <w:proofErr w:type="gramEnd"/>
      <w:r w:rsidRPr="004624C7">
        <w:rPr>
          <w:rFonts w:ascii="宋体" w:eastAsia="宋体" w:hAnsi="宋体" w:hint="eastAsia"/>
          <w:b/>
          <w:sz w:val="44"/>
          <w:szCs w:val="44"/>
        </w:rPr>
        <w:t>项目</w:t>
      </w:r>
    </w:p>
    <w:p w:rsidR="004624C7" w:rsidRPr="004624C7" w:rsidRDefault="004624C7" w:rsidP="004624C7">
      <w:pPr>
        <w:jc w:val="center"/>
        <w:rPr>
          <w:rFonts w:ascii="宋体" w:eastAsia="宋体" w:hAnsi="宋体" w:hint="eastAsia"/>
          <w:b/>
          <w:sz w:val="44"/>
          <w:szCs w:val="44"/>
        </w:rPr>
      </w:pPr>
      <w:r w:rsidRPr="004624C7">
        <w:rPr>
          <w:rFonts w:ascii="宋体" w:eastAsia="宋体" w:hAnsi="宋体" w:hint="eastAsia"/>
          <w:b/>
          <w:sz w:val="44"/>
          <w:szCs w:val="44"/>
        </w:rPr>
        <w:t>具体要求</w:t>
      </w:r>
    </w:p>
    <w:p w:rsidR="004624C7" w:rsidRDefault="004624C7" w:rsidP="004624C7">
      <w:pPr>
        <w:ind w:firstLineChars="200" w:firstLine="640"/>
        <w:rPr>
          <w:rFonts w:ascii="仿宋" w:eastAsia="仿宋" w:hAnsi="仿宋" w:hint="eastAsia"/>
          <w:sz w:val="32"/>
          <w:szCs w:val="32"/>
        </w:rPr>
      </w:pPr>
    </w:p>
    <w:p w:rsidR="0086010D" w:rsidRPr="004624C7" w:rsidRDefault="004624C7" w:rsidP="004624C7">
      <w:pPr>
        <w:ind w:firstLineChars="200" w:firstLine="640"/>
        <w:rPr>
          <w:rFonts w:ascii="仿宋" w:eastAsia="仿宋" w:hAnsi="仿宋"/>
          <w:sz w:val="32"/>
          <w:szCs w:val="32"/>
        </w:rPr>
      </w:pPr>
      <w:r>
        <w:rPr>
          <w:rFonts w:ascii="仿宋" w:eastAsia="仿宋" w:hAnsi="仿宋" w:hint="eastAsia"/>
          <w:sz w:val="32"/>
          <w:szCs w:val="32"/>
        </w:rPr>
        <w:t>一、</w:t>
      </w:r>
      <w:r w:rsidR="0086010D" w:rsidRPr="004624C7">
        <w:rPr>
          <w:rFonts w:ascii="仿宋" w:eastAsia="仿宋" w:hAnsi="仿宋" w:hint="eastAsia"/>
          <w:sz w:val="32"/>
          <w:szCs w:val="32"/>
        </w:rPr>
        <w:t>根据《中华人民共和国政府采购法》第二十二条规定，供应商应具体满足以下要求：</w:t>
      </w:r>
    </w:p>
    <w:p w:rsidR="0086010D" w:rsidRPr="004624C7" w:rsidRDefault="0086010D" w:rsidP="004624C7">
      <w:pPr>
        <w:ind w:firstLineChars="200" w:firstLine="640"/>
        <w:rPr>
          <w:rFonts w:ascii="仿宋" w:eastAsia="仿宋" w:hAnsi="仿宋"/>
          <w:sz w:val="32"/>
          <w:szCs w:val="32"/>
        </w:rPr>
      </w:pPr>
      <w:r w:rsidRPr="004624C7">
        <w:rPr>
          <w:rFonts w:ascii="仿宋" w:eastAsia="仿宋" w:hAnsi="仿宋" w:hint="eastAsia"/>
          <w:sz w:val="32"/>
          <w:szCs w:val="32"/>
        </w:rPr>
        <w:t>1</w:t>
      </w:r>
      <w:r w:rsidR="004624C7">
        <w:rPr>
          <w:rFonts w:ascii="仿宋" w:eastAsia="仿宋" w:hAnsi="仿宋" w:hint="eastAsia"/>
          <w:sz w:val="32"/>
          <w:szCs w:val="32"/>
        </w:rPr>
        <w:t>、</w:t>
      </w:r>
      <w:r w:rsidRPr="004624C7">
        <w:rPr>
          <w:rFonts w:ascii="仿宋" w:eastAsia="仿宋" w:hAnsi="仿宋" w:hint="eastAsia"/>
          <w:sz w:val="32"/>
          <w:szCs w:val="32"/>
        </w:rPr>
        <w:t>供应商须提供有效的营业执照；</w:t>
      </w:r>
    </w:p>
    <w:p w:rsidR="0086010D" w:rsidRPr="004624C7" w:rsidRDefault="0086010D" w:rsidP="004624C7">
      <w:pPr>
        <w:ind w:firstLineChars="200" w:firstLine="640"/>
        <w:rPr>
          <w:rFonts w:ascii="仿宋" w:eastAsia="仿宋" w:hAnsi="仿宋"/>
          <w:sz w:val="32"/>
          <w:szCs w:val="32"/>
        </w:rPr>
      </w:pPr>
      <w:r w:rsidRPr="004624C7">
        <w:rPr>
          <w:rFonts w:ascii="仿宋" w:eastAsia="仿宋" w:hAnsi="仿宋" w:hint="eastAsia"/>
          <w:sz w:val="32"/>
          <w:szCs w:val="32"/>
        </w:rPr>
        <w:t>2</w:t>
      </w:r>
      <w:r w:rsidR="004624C7">
        <w:rPr>
          <w:rFonts w:ascii="仿宋" w:eastAsia="仿宋" w:hAnsi="仿宋" w:hint="eastAsia"/>
          <w:sz w:val="32"/>
          <w:szCs w:val="32"/>
        </w:rPr>
        <w:t>、</w:t>
      </w:r>
      <w:r w:rsidRPr="004624C7">
        <w:rPr>
          <w:rFonts w:ascii="仿宋" w:eastAsia="仿宋" w:hAnsi="仿宋" w:hint="eastAsia"/>
          <w:sz w:val="32"/>
          <w:szCs w:val="32"/>
        </w:rPr>
        <w:t>供应商须具有国家网络安全等级保护工作协调小组办公室颁发的网络安全等级保护测评机构推荐证书并在国家网络安全等级保护网可查询（提供网站查询截图）；</w:t>
      </w:r>
    </w:p>
    <w:p w:rsidR="0086010D" w:rsidRPr="004624C7" w:rsidRDefault="0086010D" w:rsidP="004624C7">
      <w:pPr>
        <w:ind w:firstLineChars="200" w:firstLine="640"/>
        <w:rPr>
          <w:rFonts w:ascii="仿宋" w:eastAsia="仿宋" w:hAnsi="仿宋"/>
          <w:sz w:val="32"/>
          <w:szCs w:val="32"/>
        </w:rPr>
      </w:pPr>
      <w:r w:rsidRPr="004624C7">
        <w:rPr>
          <w:rFonts w:ascii="仿宋" w:eastAsia="仿宋" w:hAnsi="仿宋" w:hint="eastAsia"/>
          <w:sz w:val="32"/>
          <w:szCs w:val="32"/>
        </w:rPr>
        <w:t>3</w:t>
      </w:r>
      <w:r w:rsidR="004624C7">
        <w:rPr>
          <w:rFonts w:ascii="仿宋" w:eastAsia="仿宋" w:hAnsi="仿宋" w:hint="eastAsia"/>
          <w:sz w:val="32"/>
          <w:szCs w:val="32"/>
        </w:rPr>
        <w:t>、</w:t>
      </w:r>
      <w:r w:rsidRPr="004624C7">
        <w:rPr>
          <w:rFonts w:ascii="仿宋" w:eastAsia="仿宋" w:hAnsi="仿宋" w:hint="eastAsia"/>
          <w:sz w:val="32"/>
          <w:szCs w:val="32"/>
        </w:rPr>
        <w:t>供应商须具有中国网络安全审查技术与认证中心颁发的信息系统</w:t>
      </w:r>
      <w:proofErr w:type="gramStart"/>
      <w:r w:rsidRPr="004624C7">
        <w:rPr>
          <w:rFonts w:ascii="仿宋" w:eastAsia="仿宋" w:hAnsi="仿宋" w:hint="eastAsia"/>
          <w:sz w:val="32"/>
          <w:szCs w:val="32"/>
        </w:rPr>
        <w:t>安全运</w:t>
      </w:r>
      <w:proofErr w:type="gramEnd"/>
      <w:r w:rsidRPr="004624C7">
        <w:rPr>
          <w:rFonts w:ascii="仿宋" w:eastAsia="仿宋" w:hAnsi="仿宋" w:hint="eastAsia"/>
          <w:sz w:val="32"/>
          <w:szCs w:val="32"/>
        </w:rPr>
        <w:t>维服务资质证书、信息安全应急处理服务资质证书、信息安全风险评估服务资质证书；</w:t>
      </w:r>
    </w:p>
    <w:p w:rsidR="0086010D" w:rsidRPr="004624C7" w:rsidRDefault="0086010D" w:rsidP="004624C7">
      <w:pPr>
        <w:ind w:firstLineChars="200" w:firstLine="640"/>
        <w:rPr>
          <w:rFonts w:ascii="仿宋" w:eastAsia="仿宋" w:hAnsi="仿宋"/>
          <w:sz w:val="32"/>
          <w:szCs w:val="32"/>
        </w:rPr>
      </w:pPr>
      <w:r w:rsidRPr="004624C7">
        <w:rPr>
          <w:rFonts w:ascii="仿宋" w:eastAsia="仿宋" w:hAnsi="仿宋" w:hint="eastAsia"/>
          <w:sz w:val="32"/>
          <w:szCs w:val="32"/>
        </w:rPr>
        <w:t>4</w:t>
      </w:r>
      <w:r w:rsidR="004624C7">
        <w:rPr>
          <w:rFonts w:ascii="仿宋" w:eastAsia="仿宋" w:hAnsi="仿宋" w:hint="eastAsia"/>
          <w:sz w:val="32"/>
          <w:szCs w:val="32"/>
        </w:rPr>
        <w:t>、</w:t>
      </w:r>
      <w:r w:rsidRPr="004624C7">
        <w:rPr>
          <w:rFonts w:ascii="仿宋" w:eastAsia="仿宋" w:hAnsi="仿宋" w:hint="eastAsia"/>
          <w:sz w:val="32"/>
          <w:szCs w:val="32"/>
        </w:rPr>
        <w:t>供应商须提供2021年1月1日以来任意一个月份依法缴纳税收和社会保障资金的</w:t>
      </w:r>
      <w:proofErr w:type="gramStart"/>
      <w:r w:rsidRPr="004624C7">
        <w:rPr>
          <w:rFonts w:ascii="仿宋" w:eastAsia="仿宋" w:hAnsi="仿宋" w:hint="eastAsia"/>
          <w:sz w:val="32"/>
          <w:szCs w:val="32"/>
        </w:rPr>
        <w:t>的</w:t>
      </w:r>
      <w:proofErr w:type="gramEnd"/>
      <w:r w:rsidRPr="004624C7">
        <w:rPr>
          <w:rFonts w:ascii="仿宋" w:eastAsia="仿宋" w:hAnsi="仿宋" w:hint="eastAsia"/>
          <w:sz w:val="32"/>
          <w:szCs w:val="32"/>
        </w:rPr>
        <w:t>证明材料；</w:t>
      </w:r>
    </w:p>
    <w:p w:rsidR="0086010D" w:rsidRPr="004624C7" w:rsidRDefault="0086010D" w:rsidP="004624C7">
      <w:pPr>
        <w:ind w:firstLineChars="200" w:firstLine="640"/>
        <w:rPr>
          <w:rFonts w:ascii="仿宋" w:eastAsia="仿宋" w:hAnsi="仿宋"/>
          <w:sz w:val="32"/>
          <w:szCs w:val="32"/>
        </w:rPr>
      </w:pPr>
      <w:r w:rsidRPr="004624C7">
        <w:rPr>
          <w:rFonts w:ascii="仿宋" w:eastAsia="仿宋" w:hAnsi="仿宋" w:hint="eastAsia"/>
          <w:sz w:val="32"/>
          <w:szCs w:val="32"/>
        </w:rPr>
        <w:t>5</w:t>
      </w:r>
      <w:r w:rsidR="004624C7">
        <w:rPr>
          <w:rFonts w:ascii="仿宋" w:eastAsia="仿宋" w:hAnsi="仿宋" w:hint="eastAsia"/>
          <w:sz w:val="32"/>
          <w:szCs w:val="32"/>
        </w:rPr>
        <w:t>、</w:t>
      </w:r>
      <w:r w:rsidRPr="004624C7">
        <w:rPr>
          <w:rFonts w:ascii="仿宋" w:eastAsia="仿宋" w:hAnsi="仿宋" w:hint="eastAsia"/>
          <w:sz w:val="32"/>
          <w:szCs w:val="32"/>
        </w:rPr>
        <w:t>供应商须提供2020年的经第三方审计机构出具的审计报告或2020年1月1日以来任意三个月的财务报表；</w:t>
      </w:r>
    </w:p>
    <w:p w:rsidR="00696F21" w:rsidRPr="004624C7" w:rsidRDefault="004624C7" w:rsidP="004624C7">
      <w:pPr>
        <w:ind w:firstLineChars="200" w:firstLine="640"/>
        <w:rPr>
          <w:rFonts w:ascii="仿宋" w:eastAsia="仿宋" w:hAnsi="仿宋"/>
          <w:sz w:val="32"/>
          <w:szCs w:val="32"/>
        </w:rPr>
      </w:pPr>
      <w:proofErr w:type="gramStart"/>
      <w:r>
        <w:rPr>
          <w:rFonts w:ascii="仿宋" w:eastAsia="仿宋" w:hAnsi="仿宋" w:hint="eastAsia"/>
          <w:sz w:val="32"/>
          <w:szCs w:val="32"/>
        </w:rPr>
        <w:t>二、</w:t>
      </w:r>
      <w:r w:rsidR="00696F21" w:rsidRPr="004624C7">
        <w:rPr>
          <w:rFonts w:ascii="仿宋" w:eastAsia="仿宋" w:hAnsi="仿宋" w:hint="eastAsia"/>
          <w:sz w:val="32"/>
          <w:szCs w:val="32"/>
        </w:rPr>
        <w:t>三级等保技术</w:t>
      </w:r>
      <w:proofErr w:type="gramEnd"/>
      <w:r w:rsidR="00696F21" w:rsidRPr="004624C7">
        <w:rPr>
          <w:rFonts w:ascii="仿宋" w:eastAsia="仿宋" w:hAnsi="仿宋" w:hint="eastAsia"/>
          <w:sz w:val="32"/>
          <w:szCs w:val="32"/>
        </w:rPr>
        <w:t>要求：</w:t>
      </w:r>
    </w:p>
    <w:p w:rsidR="00696F21" w:rsidRPr="004624C7" w:rsidRDefault="004624C7" w:rsidP="004624C7">
      <w:pPr>
        <w:ind w:firstLineChars="200" w:firstLine="640"/>
        <w:rPr>
          <w:rFonts w:ascii="仿宋" w:eastAsia="仿宋" w:hAnsi="仿宋"/>
          <w:sz w:val="32"/>
          <w:szCs w:val="32"/>
        </w:rPr>
      </w:pPr>
      <w:bookmarkStart w:id="0" w:name="_Toc1660935"/>
      <w:r>
        <w:rPr>
          <w:rFonts w:ascii="仿宋" w:eastAsia="仿宋" w:hAnsi="仿宋" w:hint="eastAsia"/>
          <w:sz w:val="32"/>
          <w:szCs w:val="32"/>
        </w:rPr>
        <w:t>1、</w:t>
      </w:r>
      <w:r w:rsidR="00696F21" w:rsidRPr="004624C7">
        <w:rPr>
          <w:rFonts w:ascii="仿宋" w:eastAsia="仿宋" w:hAnsi="仿宋" w:hint="eastAsia"/>
          <w:sz w:val="32"/>
          <w:szCs w:val="32"/>
        </w:rPr>
        <w:t>服务内容</w:t>
      </w:r>
      <w:bookmarkEnd w:id="0"/>
      <w:r w:rsidR="00696F21" w:rsidRPr="004624C7">
        <w:rPr>
          <w:rFonts w:ascii="仿宋" w:eastAsia="仿宋" w:hAnsi="仿宋" w:hint="eastAsia"/>
          <w:sz w:val="32"/>
          <w:szCs w:val="32"/>
        </w:rPr>
        <w:t>及要求</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为落实《中华人民共和国网络安全法》、《关于加强国家电子政务工程建设项目信息安全风险评估工作的通知》（</w:t>
      </w:r>
      <w:proofErr w:type="gramStart"/>
      <w:r w:rsidRPr="004624C7">
        <w:rPr>
          <w:rFonts w:ascii="仿宋" w:eastAsia="仿宋" w:hAnsi="仿宋" w:hint="eastAsia"/>
          <w:sz w:val="32"/>
          <w:szCs w:val="32"/>
        </w:rPr>
        <w:t>发改高</w:t>
      </w:r>
      <w:proofErr w:type="gramEnd"/>
      <w:r w:rsidRPr="004624C7">
        <w:rPr>
          <w:rFonts w:ascii="仿宋" w:eastAsia="仿宋" w:hAnsi="仿宋" w:hint="eastAsia"/>
          <w:sz w:val="32"/>
          <w:szCs w:val="32"/>
        </w:rPr>
        <w:t>技〔2008〕2071号）、《关于进一步加强国家电子政务网络建设和应用工作的通知》（</w:t>
      </w:r>
      <w:proofErr w:type="gramStart"/>
      <w:r w:rsidRPr="004624C7">
        <w:rPr>
          <w:rFonts w:ascii="仿宋" w:eastAsia="仿宋" w:hAnsi="仿宋" w:hint="eastAsia"/>
          <w:sz w:val="32"/>
          <w:szCs w:val="32"/>
        </w:rPr>
        <w:t>发改高</w:t>
      </w:r>
      <w:proofErr w:type="gramEnd"/>
      <w:r w:rsidRPr="004624C7">
        <w:rPr>
          <w:rFonts w:ascii="仿宋" w:eastAsia="仿宋" w:hAnsi="仿宋" w:hint="eastAsia"/>
          <w:sz w:val="32"/>
          <w:szCs w:val="32"/>
        </w:rPr>
        <w:t>技〔2012〕1986号）、《国</w:t>
      </w:r>
      <w:r w:rsidRPr="004624C7">
        <w:rPr>
          <w:rFonts w:ascii="仿宋" w:eastAsia="仿宋" w:hAnsi="仿宋" w:hint="eastAsia"/>
          <w:sz w:val="32"/>
          <w:szCs w:val="32"/>
        </w:rPr>
        <w:lastRenderedPageBreak/>
        <w:t>家信息化领导小组关于加强信息安全保障工作的意见》等国家及部委有关文件要求。新蔡县人民法院需参照《信息安全等级保护管理办法》（公通字〔2007〕43号）、《网络安全等级保护基本要求》（GB/T22239-2019）、《信息系统安全等级保护实施指南》（信安字〔2007〕10号）和《信息安全等级保护安全建设整改工作指导意见》（公信安〔2009〕1429号）等相关文件，结合信息系统架构和安全防护现状，落实信息安全等级保护三级的安全管理和安全技术要求，委托具有网络安全等级保护测评资质的测评机构对基础网络、电子送达系统进行全面的等级保护测评，并依据测评结论出具详实的等级保护测评报告，全面提高网络安全防护能力，确保重要信息系统安全稳定的运行。</w:t>
      </w:r>
      <w:bookmarkStart w:id="1" w:name="4、需遵循的政策法规及行业规范"/>
      <w:bookmarkStart w:id="2" w:name="_Toc531790516"/>
      <w:bookmarkStart w:id="3" w:name="_Toc85363098"/>
      <w:bookmarkStart w:id="4" w:name="_Toc492547117"/>
      <w:bookmarkEnd w:id="1"/>
    </w:p>
    <w:p w:rsidR="00696F21" w:rsidRPr="004624C7" w:rsidRDefault="004624C7" w:rsidP="004624C7">
      <w:pPr>
        <w:ind w:firstLineChars="200" w:firstLine="640"/>
        <w:rPr>
          <w:rFonts w:ascii="仿宋" w:eastAsia="仿宋" w:hAnsi="仿宋"/>
          <w:sz w:val="32"/>
          <w:szCs w:val="32"/>
        </w:rPr>
      </w:pPr>
      <w:r>
        <w:rPr>
          <w:rFonts w:ascii="仿宋" w:eastAsia="仿宋" w:hAnsi="仿宋" w:hint="eastAsia"/>
          <w:sz w:val="32"/>
          <w:szCs w:val="32"/>
        </w:rPr>
        <w:t>2、</w:t>
      </w:r>
      <w:r w:rsidR="00696F21" w:rsidRPr="004624C7">
        <w:rPr>
          <w:rFonts w:ascii="仿宋" w:eastAsia="仿宋" w:hAnsi="仿宋" w:hint="eastAsia"/>
          <w:sz w:val="32"/>
          <w:szCs w:val="32"/>
        </w:rPr>
        <w:t>需遵循的政策法规及行业规范</w:t>
      </w:r>
      <w:bookmarkEnd w:id="2"/>
      <w:bookmarkEnd w:id="3"/>
    </w:p>
    <w:p w:rsidR="00696F21" w:rsidRPr="004624C7" w:rsidRDefault="00696F21" w:rsidP="004624C7">
      <w:pPr>
        <w:ind w:firstLineChars="200" w:firstLine="640"/>
        <w:rPr>
          <w:rFonts w:ascii="仿宋" w:eastAsia="仿宋" w:hAnsi="仿宋"/>
          <w:sz w:val="32"/>
          <w:szCs w:val="32"/>
        </w:rPr>
      </w:pPr>
      <w:bookmarkStart w:id="5" w:name="4.1需遵循的政策法规"/>
      <w:bookmarkEnd w:id="5"/>
      <w:r w:rsidRPr="004624C7">
        <w:rPr>
          <w:rFonts w:ascii="仿宋" w:eastAsia="仿宋" w:hAnsi="仿宋" w:hint="eastAsia"/>
          <w:sz w:val="32"/>
          <w:szCs w:val="32"/>
        </w:rPr>
        <w:t>（1）《中华人民共和国网络安全法》（2017年6月1日正式实施）</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（2）《中华人民共和国保守国家秘密法》（1988年9月5日中华人民共和国主席令第6号公布）</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（3）《中华人民共和国保守国家秘密法实施办法》（国家保密局</w:t>
      </w:r>
      <w:proofErr w:type="gramStart"/>
      <w:r w:rsidRPr="004624C7">
        <w:rPr>
          <w:rFonts w:ascii="仿宋" w:eastAsia="仿宋" w:hAnsi="仿宋" w:hint="eastAsia"/>
          <w:sz w:val="32"/>
          <w:szCs w:val="32"/>
        </w:rPr>
        <w:t>文件国</w:t>
      </w:r>
      <w:proofErr w:type="gramEnd"/>
      <w:r w:rsidRPr="004624C7">
        <w:rPr>
          <w:rFonts w:ascii="仿宋" w:eastAsia="仿宋" w:hAnsi="仿宋" w:hint="eastAsia"/>
          <w:sz w:val="32"/>
          <w:szCs w:val="32"/>
        </w:rPr>
        <w:t>保发[1990]1号）</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（4）《中华人民共和国国家安全法》（主席令68号，1993年2月22日第七届全国人民代表大会常务委员会第三十次会议通过）</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lastRenderedPageBreak/>
        <w:t>（5）《中华人民共和国计算机信息系统安全保护条例》（国务院令147号）</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（6）《计算机信息系统保密管理暂行规定》（国家保密局</w:t>
      </w:r>
      <w:proofErr w:type="gramStart"/>
      <w:r w:rsidRPr="004624C7">
        <w:rPr>
          <w:rFonts w:ascii="仿宋" w:eastAsia="仿宋" w:hAnsi="仿宋" w:hint="eastAsia"/>
          <w:sz w:val="32"/>
          <w:szCs w:val="32"/>
        </w:rPr>
        <w:t>文件国</w:t>
      </w:r>
      <w:proofErr w:type="gramEnd"/>
      <w:r w:rsidRPr="004624C7">
        <w:rPr>
          <w:rFonts w:ascii="仿宋" w:eastAsia="仿宋" w:hAnsi="仿宋" w:hint="eastAsia"/>
          <w:sz w:val="32"/>
          <w:szCs w:val="32"/>
        </w:rPr>
        <w:t>保发[1998]1号）</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（7）《计算机信息系统国际联网保密管理规定》（国家保密局</w:t>
      </w:r>
      <w:proofErr w:type="gramStart"/>
      <w:r w:rsidRPr="004624C7">
        <w:rPr>
          <w:rFonts w:ascii="仿宋" w:eastAsia="仿宋" w:hAnsi="仿宋" w:hint="eastAsia"/>
          <w:sz w:val="32"/>
          <w:szCs w:val="32"/>
        </w:rPr>
        <w:t>文件国</w:t>
      </w:r>
      <w:proofErr w:type="gramEnd"/>
      <w:r w:rsidRPr="004624C7">
        <w:rPr>
          <w:rFonts w:ascii="仿宋" w:eastAsia="仿宋" w:hAnsi="仿宋" w:hint="eastAsia"/>
          <w:sz w:val="32"/>
          <w:szCs w:val="32"/>
        </w:rPr>
        <w:t>保发[1999]1号）</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（8）《中华人民共和国计算机信息网络国际联网管理暂行规定》（国务院令195号）</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（9）《中华人民共和国计算机信息网络国际联网管理暂行规定实施办法》</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（1997年12月8日国务院信息化工作领导小组审定）</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（10）《计算机病毒防治管理办法》（2000年4月26日中华人民共和国公</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安部第51号令）</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（11）《计算机信息网络国际联网安全保护管理办法》（1997年12月11</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日国务院批准，1997年12月30日公安部发布）</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（12）《计算机信息系统安全专用产品分类原则》（1997年4月公安部发布）</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（13）《互联网电子公告服务管理规定》（信息产业部2000年10月8日第4次部务会议通过）</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（14）《计算机信息系统安全等级保护划分准则》</w:t>
      </w:r>
      <w:r w:rsidRPr="004624C7">
        <w:rPr>
          <w:rFonts w:ascii="仿宋" w:eastAsia="仿宋" w:hAnsi="仿宋" w:hint="eastAsia"/>
          <w:sz w:val="32"/>
          <w:szCs w:val="32"/>
        </w:rPr>
        <w:lastRenderedPageBreak/>
        <w:t>（GB/T17859-1999）</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（15）《计算机信息系统安全等级保护网络技术要求》（GA/T387-2002）</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（16）《计算机信息系统安全等级保护操作系统技术要求》（GA/T388-2002）</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（17）《计算机信息系统安全等级保护数据库管理系统技术要求》</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（GA/T389-2002）</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（18）《计算机信息系统安全保护等级划分准则》（1999年9月国家技术监督局发布）</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（19）《计算机信息系统安全等级保护通用技术要求》（GA/T390-2002）</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（20）《计算机信息系统安全等级保护管理要求》（GA/T391-2002）</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（21）《计算机机房场地安全要求》（GB9361-88）投标人必须遵循但不限于以上法律法规。</w:t>
      </w:r>
    </w:p>
    <w:p w:rsidR="00696F21" w:rsidRPr="004624C7" w:rsidRDefault="004624C7" w:rsidP="004624C7">
      <w:pPr>
        <w:ind w:firstLineChars="200" w:firstLine="640"/>
        <w:rPr>
          <w:rFonts w:ascii="仿宋" w:eastAsia="仿宋" w:hAnsi="仿宋"/>
          <w:sz w:val="32"/>
          <w:szCs w:val="32"/>
        </w:rPr>
      </w:pPr>
      <w:bookmarkStart w:id="6" w:name="4.2需遵循的行业规范"/>
      <w:bookmarkStart w:id="7" w:name="_Toc531790518"/>
      <w:bookmarkStart w:id="8" w:name="_Toc85363100"/>
      <w:bookmarkEnd w:id="6"/>
      <w:r>
        <w:rPr>
          <w:rFonts w:ascii="仿宋" w:eastAsia="仿宋" w:hAnsi="仿宋" w:hint="eastAsia"/>
          <w:sz w:val="32"/>
          <w:szCs w:val="32"/>
        </w:rPr>
        <w:t>3、</w:t>
      </w:r>
      <w:r w:rsidR="00696F21" w:rsidRPr="004624C7">
        <w:rPr>
          <w:rFonts w:ascii="仿宋" w:eastAsia="仿宋" w:hAnsi="仿宋" w:hint="eastAsia"/>
          <w:sz w:val="32"/>
          <w:szCs w:val="32"/>
        </w:rPr>
        <w:t>需遵循的行业规范</w:t>
      </w:r>
      <w:bookmarkEnd w:id="7"/>
      <w:bookmarkEnd w:id="8"/>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（1）《中华人民共和国计算机信息系统安全保护条例》（147号令）1994</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（2）《信息安全等级保护管理办法》(公通字[2007]43号)</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（3）《国家电子政务工程建设项目管理暂行办法》（中</w:t>
      </w:r>
      <w:r w:rsidRPr="004624C7">
        <w:rPr>
          <w:rFonts w:ascii="仿宋" w:eastAsia="仿宋" w:hAnsi="仿宋" w:hint="eastAsia"/>
          <w:sz w:val="32"/>
          <w:szCs w:val="32"/>
        </w:rPr>
        <w:lastRenderedPageBreak/>
        <w:t>华人民共和国国家发展和改革委员会令第55号2007年8月）</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（4）《信息安全等级保护安全建设整改工作指导意见》(公信安[2009]1429号)</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（5）《信息安全技术网络安全保护等级保护测评要求》</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（6）《关于开展全国重要信息系统安全等级保护定级工作的通知》</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（7）《信息安全技术网络安全等级保护定级指南》</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（8）《信息安全技术网络安全等级保护基本要求》</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（9）《信息系统安全等级保护实施指南》(信安字[2007]10号)</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（10）《信息安全等级保护安全建设整改工作指南》</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（11）《关于加强国家电子政务工程建设项目信息安全风险评估工作的通知》(</w:t>
      </w:r>
      <w:proofErr w:type="gramStart"/>
      <w:r w:rsidRPr="004624C7">
        <w:rPr>
          <w:rFonts w:ascii="仿宋" w:eastAsia="仿宋" w:hAnsi="仿宋" w:hint="eastAsia"/>
          <w:sz w:val="32"/>
          <w:szCs w:val="32"/>
        </w:rPr>
        <w:t>发改高</w:t>
      </w:r>
      <w:proofErr w:type="gramEnd"/>
      <w:r w:rsidRPr="004624C7">
        <w:rPr>
          <w:rFonts w:ascii="仿宋" w:eastAsia="仿宋" w:hAnsi="仿宋" w:hint="eastAsia"/>
          <w:sz w:val="32"/>
          <w:szCs w:val="32"/>
        </w:rPr>
        <w:t>技[2008]2071号)</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（12）《国务院办公厅关于开展重点领域网络与信息安全检查行动的通知》（国办函〔2012〕102号）</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（13）《国务院关于大力推进信息化发展和切实保障信息安全的若干意见》（国发〔2012〕23号）</w:t>
      </w:r>
    </w:p>
    <w:p w:rsidR="00696F21" w:rsidRPr="004624C7" w:rsidRDefault="004624C7" w:rsidP="004624C7">
      <w:pPr>
        <w:ind w:firstLineChars="200" w:firstLine="640"/>
        <w:rPr>
          <w:rFonts w:ascii="仿宋" w:eastAsia="仿宋" w:hAnsi="仿宋"/>
          <w:sz w:val="32"/>
          <w:szCs w:val="32"/>
        </w:rPr>
      </w:pPr>
      <w:bookmarkStart w:id="9" w:name="4.3需遵循的项目原则"/>
      <w:bookmarkStart w:id="10" w:name="_Toc492547118"/>
      <w:bookmarkStart w:id="11" w:name="_Toc85363102"/>
      <w:bookmarkStart w:id="12" w:name="_Toc531790521"/>
      <w:bookmarkEnd w:id="4"/>
      <w:bookmarkEnd w:id="9"/>
      <w:r>
        <w:rPr>
          <w:rFonts w:ascii="仿宋" w:eastAsia="仿宋" w:hAnsi="仿宋" w:hint="eastAsia"/>
          <w:sz w:val="32"/>
          <w:szCs w:val="32"/>
        </w:rPr>
        <w:t>3、</w:t>
      </w:r>
      <w:r w:rsidR="00696F21" w:rsidRPr="004624C7">
        <w:rPr>
          <w:rFonts w:ascii="仿宋" w:eastAsia="仿宋" w:hAnsi="仿宋" w:hint="eastAsia"/>
          <w:sz w:val="32"/>
          <w:szCs w:val="32"/>
        </w:rPr>
        <w:t>具体要求</w:t>
      </w:r>
      <w:bookmarkEnd w:id="10"/>
      <w:bookmarkEnd w:id="11"/>
      <w:bookmarkEnd w:id="12"/>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项目总体管理和技术要求：总体要求与《信息安全等级保护管理办法》（公通字[2007]43号）、《信息系统安全等级保护实施指南》（信安字[2007]10号）和《信息安全等级保护安全建设整改工作指导意见》（公信安[2009]1429号）等</w:t>
      </w:r>
      <w:r w:rsidRPr="004624C7">
        <w:rPr>
          <w:rFonts w:ascii="仿宋" w:eastAsia="仿宋" w:hAnsi="仿宋" w:hint="eastAsia"/>
          <w:sz w:val="32"/>
          <w:szCs w:val="32"/>
        </w:rPr>
        <w:lastRenderedPageBreak/>
        <w:t>信息安全等级保护系列文件要求保持一致，开展信息安全等级保护测评工作。具体信息安全技术标准以文件相应部分提及的为准。</w:t>
      </w:r>
    </w:p>
    <w:p w:rsidR="00696F21" w:rsidRPr="004624C7" w:rsidRDefault="00696F21" w:rsidP="004624C7">
      <w:pPr>
        <w:ind w:firstLineChars="200" w:firstLine="640"/>
        <w:rPr>
          <w:rFonts w:ascii="仿宋" w:eastAsia="仿宋" w:hAnsi="仿宋"/>
          <w:sz w:val="32"/>
          <w:szCs w:val="32"/>
        </w:rPr>
      </w:pPr>
      <w:bookmarkStart w:id="13" w:name="_Toc85363103"/>
      <w:bookmarkStart w:id="14" w:name="_Toc40893488"/>
      <w:bookmarkStart w:id="15" w:name="_Toc40794976"/>
      <w:bookmarkStart w:id="16" w:name="_Toc531790523"/>
      <w:bookmarkStart w:id="17" w:name="_Toc492547120"/>
      <w:r w:rsidRPr="004624C7">
        <w:rPr>
          <w:rFonts w:ascii="仿宋" w:eastAsia="仿宋" w:hAnsi="仿宋" w:hint="eastAsia"/>
          <w:sz w:val="32"/>
          <w:szCs w:val="32"/>
        </w:rPr>
        <w:t>三、等级保护测评要求</w:t>
      </w:r>
      <w:bookmarkEnd w:id="13"/>
      <w:bookmarkEnd w:id="14"/>
      <w:bookmarkEnd w:id="15"/>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1、项目内容</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本项目按照信息安全等级保护2.0测评标准进行安全等级保护测评。具体项目测评内容如下：</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安全技术测评：包括安全物理环境、安全通信网络、安全区域边界、安全计算环境和安全管理中心等五个方面的安全测评。</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安全管理测评：安全管理机构、安全管理制度、安全管理人员、安全建设管理和</w:t>
      </w:r>
      <w:proofErr w:type="gramStart"/>
      <w:r w:rsidRPr="004624C7">
        <w:rPr>
          <w:rFonts w:ascii="仿宋" w:eastAsia="仿宋" w:hAnsi="仿宋" w:hint="eastAsia"/>
          <w:sz w:val="32"/>
          <w:szCs w:val="32"/>
        </w:rPr>
        <w:t>安全运维管理</w:t>
      </w:r>
      <w:proofErr w:type="gramEnd"/>
      <w:r w:rsidRPr="004624C7">
        <w:rPr>
          <w:rFonts w:ascii="仿宋" w:eastAsia="仿宋" w:hAnsi="仿宋" w:hint="eastAsia"/>
          <w:sz w:val="32"/>
          <w:szCs w:val="32"/>
        </w:rPr>
        <w:t>等五个方面的安全控制测评。</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2、具体要求</w:t>
      </w:r>
    </w:p>
    <w:p w:rsidR="00696F21" w:rsidRPr="004624C7" w:rsidRDefault="00696F21" w:rsidP="004624C7">
      <w:pPr>
        <w:ind w:firstLineChars="200" w:firstLine="640"/>
        <w:rPr>
          <w:rFonts w:ascii="仿宋" w:eastAsia="仿宋" w:hAnsi="仿宋"/>
          <w:sz w:val="32"/>
          <w:szCs w:val="32"/>
        </w:rPr>
      </w:pPr>
      <w:r w:rsidRPr="004624C7">
        <w:rPr>
          <w:rFonts w:ascii="仿宋" w:eastAsia="仿宋" w:hAnsi="仿宋" w:hint="eastAsia"/>
          <w:sz w:val="32"/>
          <w:szCs w:val="32"/>
        </w:rPr>
        <w:t>在安全等级保护测评过程中，每个工作阶段、流程、内容、及成果交付严格遵循《信息安全技术网络安全等级保护测评要求》和《信息安全技术网络安全等级保护测评过程指南》文件，根据本项目信息系统已完成的定级备案安全等级，开展相应级别的安全等级保护测评工作，根据测评结果出具相应的单项和整体测评报告，测评报告需得到项目单位的确认，并</w:t>
      </w:r>
      <w:proofErr w:type="gramStart"/>
      <w:r w:rsidRPr="004624C7">
        <w:rPr>
          <w:rFonts w:ascii="仿宋" w:eastAsia="仿宋" w:hAnsi="仿宋" w:hint="eastAsia"/>
          <w:sz w:val="32"/>
          <w:szCs w:val="32"/>
        </w:rPr>
        <w:t>报送网安</w:t>
      </w:r>
      <w:proofErr w:type="gramEnd"/>
      <w:r w:rsidRPr="004624C7">
        <w:rPr>
          <w:rFonts w:ascii="仿宋" w:eastAsia="仿宋" w:hAnsi="仿宋" w:hint="eastAsia"/>
          <w:sz w:val="32"/>
          <w:szCs w:val="32"/>
        </w:rPr>
        <w:t>部门审核、批复。测评报告编制的内容及格式严格遵照《网络安全等级保护测评报告模版（2021年版）》</w:t>
      </w:r>
      <w:r w:rsidRPr="004624C7">
        <w:rPr>
          <w:rFonts w:ascii="仿宋" w:eastAsia="仿宋" w:hAnsi="仿宋" w:hint="eastAsia"/>
          <w:sz w:val="32"/>
          <w:szCs w:val="32"/>
        </w:rPr>
        <w:lastRenderedPageBreak/>
        <w:t>进行。</w:t>
      </w:r>
    </w:p>
    <w:p w:rsidR="00696F21" w:rsidRPr="004624C7" w:rsidRDefault="00696F21" w:rsidP="00F302D1">
      <w:pPr>
        <w:ind w:firstLineChars="200" w:firstLine="640"/>
        <w:rPr>
          <w:rFonts w:ascii="仿宋" w:eastAsia="仿宋" w:hAnsi="仿宋"/>
          <w:sz w:val="32"/>
          <w:szCs w:val="32"/>
        </w:rPr>
      </w:pPr>
      <w:bookmarkStart w:id="18" w:name="_Hlk26709190"/>
      <w:r w:rsidRPr="004624C7">
        <w:rPr>
          <w:rFonts w:ascii="仿宋" w:eastAsia="仿宋" w:hAnsi="仿宋" w:hint="eastAsia"/>
          <w:sz w:val="32"/>
          <w:szCs w:val="32"/>
        </w:rPr>
        <w:t>测评技术团队符合《网络安全等级保护测评机构管理办法》对测评机构和测评人员管理的要求，项目负责人由公安部培训考核认证通过的信息安全高级等级保护测评师承担，通过注册信息安全专业认证、</w:t>
      </w:r>
      <w:bookmarkStart w:id="19" w:name="_Hlk41214574"/>
      <w:r w:rsidRPr="004624C7">
        <w:rPr>
          <w:rFonts w:ascii="仿宋" w:eastAsia="仿宋" w:hAnsi="仿宋" w:hint="eastAsia"/>
          <w:sz w:val="32"/>
          <w:szCs w:val="32"/>
        </w:rPr>
        <w:t>具备良好的教育背景</w:t>
      </w:r>
      <w:bookmarkEnd w:id="19"/>
      <w:r w:rsidRPr="004624C7">
        <w:rPr>
          <w:rFonts w:ascii="仿宋" w:eastAsia="仿宋" w:hAnsi="仿宋" w:hint="eastAsia"/>
          <w:sz w:val="32"/>
          <w:szCs w:val="32"/>
        </w:rPr>
        <w:t>、受过专业的技术培训、拥有丰富的行业信息安全及等级保护测评安全服务工作经验，对用户在信息系统安全等级保护测评过程中可能会面临的各类技术问题提供及时解决方案。</w:t>
      </w:r>
      <w:bookmarkEnd w:id="18"/>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3、项目交付成果</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项目阶段各阶段的测评过程文档（参照《信息安全技术网络安全等级保护测评过程指南》）编制。相见下表（包括但不限于）</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000"/>
      </w:tblPr>
      <w:tblGrid>
        <w:gridCol w:w="3700"/>
        <w:gridCol w:w="4822"/>
      </w:tblGrid>
      <w:tr w:rsidR="00696F21" w:rsidRPr="004624C7" w:rsidTr="00DF28D6">
        <w:trPr>
          <w:trHeight w:val="330"/>
          <w:tblHeader/>
          <w:jc w:val="center"/>
        </w:trPr>
        <w:tc>
          <w:tcPr>
            <w:tcW w:w="370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项目阶段</w:t>
            </w:r>
          </w:p>
        </w:tc>
        <w:tc>
          <w:tcPr>
            <w:tcW w:w="482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交付成果</w:t>
            </w:r>
          </w:p>
        </w:tc>
      </w:tr>
      <w:tr w:rsidR="00696F21" w:rsidRPr="004624C7" w:rsidTr="00DF28D6">
        <w:tblPrEx>
          <w:shd w:val="clear" w:color="auto" w:fill="CED7E7"/>
        </w:tblPrEx>
        <w:trPr>
          <w:trHeight w:val="690"/>
          <w:jc w:val="center"/>
        </w:trPr>
        <w:tc>
          <w:tcPr>
            <w:tcW w:w="3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测评准备活动</w:t>
            </w:r>
          </w:p>
        </w:tc>
        <w:tc>
          <w:tcPr>
            <w:tcW w:w="4822" w:type="dxa"/>
            <w:tcBorders>
              <w:top w:val="single" w:sz="4" w:space="0" w:color="000000"/>
              <w:left w:val="single" w:sz="4" w:space="0" w:color="000000"/>
              <w:bottom w:val="single" w:sz="4" w:space="0" w:color="000000"/>
              <w:right w:val="single" w:sz="4" w:space="0" w:color="000000"/>
            </w:tcBorders>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项目计划书</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被测系统基本情况分析报告</w:t>
            </w:r>
          </w:p>
        </w:tc>
      </w:tr>
      <w:tr w:rsidR="00696F21" w:rsidRPr="004624C7" w:rsidTr="00DF28D6">
        <w:tblPrEx>
          <w:shd w:val="clear" w:color="auto" w:fill="CED7E7"/>
        </w:tblPrEx>
        <w:trPr>
          <w:trHeight w:val="690"/>
          <w:jc w:val="center"/>
        </w:trPr>
        <w:tc>
          <w:tcPr>
            <w:tcW w:w="3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方案编制活动</w:t>
            </w:r>
          </w:p>
        </w:tc>
        <w:tc>
          <w:tcPr>
            <w:tcW w:w="4822" w:type="dxa"/>
            <w:tcBorders>
              <w:top w:val="single" w:sz="4" w:space="0" w:color="000000"/>
              <w:left w:val="single" w:sz="4" w:space="0" w:color="000000"/>
              <w:bottom w:val="single" w:sz="4" w:space="0" w:color="000000"/>
              <w:right w:val="single" w:sz="4" w:space="0" w:color="000000"/>
            </w:tcBorders>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测评指导书</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信息系统安全测评方案</w:t>
            </w:r>
          </w:p>
        </w:tc>
      </w:tr>
      <w:tr w:rsidR="00696F21" w:rsidRPr="004624C7" w:rsidTr="00DF28D6">
        <w:tblPrEx>
          <w:shd w:val="clear" w:color="auto" w:fill="CED7E7"/>
        </w:tblPrEx>
        <w:trPr>
          <w:trHeight w:val="690"/>
          <w:jc w:val="center"/>
        </w:trPr>
        <w:tc>
          <w:tcPr>
            <w:tcW w:w="3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现场测评活动</w:t>
            </w:r>
          </w:p>
        </w:tc>
        <w:tc>
          <w:tcPr>
            <w:tcW w:w="4822" w:type="dxa"/>
            <w:tcBorders>
              <w:top w:val="single" w:sz="4" w:space="0" w:color="000000"/>
              <w:left w:val="single" w:sz="4" w:space="0" w:color="000000"/>
              <w:bottom w:val="single" w:sz="4" w:space="0" w:color="000000"/>
              <w:right w:val="single" w:sz="4" w:space="0" w:color="000000"/>
            </w:tcBorders>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测评结果记录</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测评中发现的问题汇总</w:t>
            </w:r>
          </w:p>
        </w:tc>
      </w:tr>
      <w:tr w:rsidR="00696F21" w:rsidRPr="004624C7" w:rsidTr="00DF28D6">
        <w:tblPrEx>
          <w:shd w:val="clear" w:color="auto" w:fill="CED7E7"/>
        </w:tblPrEx>
        <w:trPr>
          <w:trHeight w:val="1770"/>
          <w:jc w:val="center"/>
        </w:trPr>
        <w:tc>
          <w:tcPr>
            <w:tcW w:w="3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lastRenderedPageBreak/>
              <w:t>分析与报告编制活动</w:t>
            </w:r>
          </w:p>
        </w:tc>
        <w:tc>
          <w:tcPr>
            <w:tcW w:w="4822" w:type="dxa"/>
            <w:tcBorders>
              <w:top w:val="single" w:sz="4" w:space="0" w:color="000000"/>
              <w:left w:val="single" w:sz="4" w:space="0" w:color="000000"/>
              <w:bottom w:val="single" w:sz="4" w:space="0" w:color="000000"/>
              <w:right w:val="single" w:sz="4" w:space="0" w:color="000000"/>
            </w:tcBorders>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单项测评结果汇总分析</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整体测评结果汇总分析</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风险分析和评估</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等级保护测评结论</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信息系统安全等级保护测评报告</w:t>
            </w:r>
          </w:p>
        </w:tc>
      </w:tr>
    </w:tbl>
    <w:p w:rsidR="00696F21" w:rsidRPr="004624C7" w:rsidRDefault="00696F21" w:rsidP="00F302D1">
      <w:pPr>
        <w:ind w:firstLineChars="200" w:firstLine="640"/>
        <w:rPr>
          <w:rFonts w:ascii="仿宋" w:eastAsia="仿宋" w:hAnsi="仿宋"/>
          <w:sz w:val="32"/>
          <w:szCs w:val="32"/>
        </w:rPr>
      </w:pPr>
      <w:bookmarkStart w:id="20" w:name="_Toc85363104"/>
      <w:r w:rsidRPr="004624C7">
        <w:rPr>
          <w:rFonts w:ascii="仿宋" w:eastAsia="仿宋" w:hAnsi="仿宋" w:hint="eastAsia"/>
          <w:sz w:val="32"/>
          <w:szCs w:val="32"/>
        </w:rPr>
        <w:t>四、整改建议要求</w:t>
      </w:r>
      <w:bookmarkEnd w:id="16"/>
      <w:bookmarkEnd w:id="17"/>
      <w:bookmarkEnd w:id="20"/>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1、具体要求</w:t>
      </w:r>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依照《信息安全等级保护安全建设整改工作指导意见》（公信安[2009]1429号），严格遵循《信息安全等级保护安全建设整改工作指南》各项要求，在系统测评工作的基础上，对信息系统总体信息安全管理和技术方面现状进行全面的分析，提供安全风险评估、安全需求分析、安全方案设计、安全集成、安全监控和运维等安全工程类信息安全服务咨询，并制订信息安全等级保护安全建设整改方案，方案内容包含但不限于：信息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w:t>
      </w:r>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2、工作过程文件及项目交付成果（包括但不限于）</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lastRenderedPageBreak/>
        <w:t>安全等级保护测评整改技术方案，方案可根据整改和规划内容的重要性和复杂程度采用分册方式编写。</w:t>
      </w:r>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3、提交要求</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需包含如下内容：</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000"/>
      </w:tblPr>
      <w:tblGrid>
        <w:gridCol w:w="3122"/>
        <w:gridCol w:w="5400"/>
      </w:tblGrid>
      <w:tr w:rsidR="00696F21" w:rsidRPr="004624C7" w:rsidTr="00DF28D6">
        <w:trPr>
          <w:trHeight w:val="330"/>
          <w:jc w:val="center"/>
        </w:trPr>
        <w:tc>
          <w:tcPr>
            <w:tcW w:w="312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方案分项</w:t>
            </w:r>
          </w:p>
        </w:tc>
        <w:tc>
          <w:tcPr>
            <w:tcW w:w="5400" w:type="dxa"/>
            <w:tcBorders>
              <w:top w:val="single" w:sz="4" w:space="0" w:color="000000"/>
              <w:left w:val="single" w:sz="4" w:space="0" w:color="000000"/>
              <w:bottom w:val="single" w:sz="4" w:space="0" w:color="000000"/>
              <w:right w:val="single" w:sz="4" w:space="0" w:color="000000"/>
            </w:tcBorders>
            <w:shd w:val="clear" w:color="auto" w:fill="BFBFBF"/>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详细内容及要求</w:t>
            </w:r>
          </w:p>
        </w:tc>
      </w:tr>
      <w:tr w:rsidR="00696F21" w:rsidRPr="004624C7" w:rsidTr="00DF28D6">
        <w:trPr>
          <w:trHeight w:val="1410"/>
          <w:jc w:val="center"/>
        </w:trPr>
        <w:tc>
          <w:tcPr>
            <w:tcW w:w="3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等级</w:t>
            </w:r>
            <w:proofErr w:type="gramStart"/>
            <w:r w:rsidRPr="004624C7">
              <w:rPr>
                <w:rFonts w:ascii="仿宋" w:eastAsia="仿宋" w:hAnsi="仿宋" w:hint="eastAsia"/>
                <w:sz w:val="32"/>
                <w:szCs w:val="32"/>
              </w:rPr>
              <w:t>化安全</w:t>
            </w:r>
            <w:proofErr w:type="gramEnd"/>
            <w:r w:rsidRPr="004624C7">
              <w:rPr>
                <w:rFonts w:ascii="仿宋" w:eastAsia="仿宋" w:hAnsi="仿宋" w:hint="eastAsia"/>
                <w:sz w:val="32"/>
                <w:szCs w:val="32"/>
              </w:rPr>
              <w:t>保障建议方案</w:t>
            </w:r>
          </w:p>
        </w:tc>
        <w:tc>
          <w:tcPr>
            <w:tcW w:w="5400" w:type="dxa"/>
            <w:tcBorders>
              <w:top w:val="single" w:sz="4" w:space="0" w:color="000000"/>
              <w:left w:val="single" w:sz="4" w:space="0" w:color="000000"/>
              <w:bottom w:val="single" w:sz="4" w:space="0" w:color="000000"/>
              <w:right w:val="single" w:sz="4" w:space="0" w:color="000000"/>
            </w:tcBorders>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内容应包括但不限于以下方面：</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1、安全区域和等级划分；</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2、安全体系框架设计；</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3、等级</w:t>
            </w:r>
            <w:proofErr w:type="gramStart"/>
            <w:r w:rsidRPr="004624C7">
              <w:rPr>
                <w:rFonts w:ascii="仿宋" w:eastAsia="仿宋" w:hAnsi="仿宋" w:hint="eastAsia"/>
                <w:sz w:val="32"/>
                <w:szCs w:val="32"/>
              </w:rPr>
              <w:t>化安全</w:t>
            </w:r>
            <w:proofErr w:type="gramEnd"/>
            <w:r w:rsidRPr="004624C7">
              <w:rPr>
                <w:rFonts w:ascii="仿宋" w:eastAsia="仿宋" w:hAnsi="仿宋" w:hint="eastAsia"/>
                <w:sz w:val="32"/>
                <w:szCs w:val="32"/>
              </w:rPr>
              <w:t>指标体系报告。</w:t>
            </w:r>
          </w:p>
        </w:tc>
      </w:tr>
      <w:tr w:rsidR="00696F21" w:rsidRPr="004624C7" w:rsidTr="00DF28D6">
        <w:trPr>
          <w:trHeight w:val="1050"/>
          <w:jc w:val="center"/>
        </w:trPr>
        <w:tc>
          <w:tcPr>
            <w:tcW w:w="3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安全体系建设建议方案</w:t>
            </w:r>
          </w:p>
        </w:tc>
        <w:tc>
          <w:tcPr>
            <w:tcW w:w="5400" w:type="dxa"/>
            <w:tcBorders>
              <w:top w:val="single" w:sz="4" w:space="0" w:color="000000"/>
              <w:left w:val="single" w:sz="4" w:space="0" w:color="000000"/>
              <w:bottom w:val="single" w:sz="4" w:space="0" w:color="000000"/>
              <w:right w:val="single" w:sz="4" w:space="0" w:color="000000"/>
            </w:tcBorders>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内容应包括但不限于以下方面：</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1、网络面临风险分析；</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2、针对性措施建议。</w:t>
            </w:r>
          </w:p>
        </w:tc>
      </w:tr>
      <w:tr w:rsidR="00696F21" w:rsidRPr="004624C7" w:rsidTr="00DF28D6">
        <w:trPr>
          <w:trHeight w:val="2130"/>
          <w:jc w:val="center"/>
        </w:trPr>
        <w:tc>
          <w:tcPr>
            <w:tcW w:w="3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相关网络安全管理制度</w:t>
            </w:r>
          </w:p>
        </w:tc>
        <w:tc>
          <w:tcPr>
            <w:tcW w:w="5400" w:type="dxa"/>
            <w:tcBorders>
              <w:top w:val="single" w:sz="4" w:space="0" w:color="000000"/>
              <w:left w:val="single" w:sz="4" w:space="0" w:color="000000"/>
              <w:bottom w:val="single" w:sz="4" w:space="0" w:color="000000"/>
              <w:right w:val="single" w:sz="4" w:space="0" w:color="000000"/>
            </w:tcBorders>
          </w:tcPr>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内容应包括但不限于以下方面：</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1、机房安全管理制度；</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2、网络故障应急预案及应急方案流程制度；</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3、客户端管理制度；</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4、数据备份及恢复制度；</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5、灾难恢复策略及制度。</w:t>
            </w:r>
          </w:p>
        </w:tc>
      </w:tr>
    </w:tbl>
    <w:p w:rsidR="00696F21" w:rsidRPr="004624C7" w:rsidRDefault="00696F21" w:rsidP="00F302D1">
      <w:pPr>
        <w:ind w:firstLineChars="200" w:firstLine="640"/>
        <w:rPr>
          <w:rFonts w:ascii="仿宋" w:eastAsia="仿宋" w:hAnsi="仿宋"/>
          <w:sz w:val="32"/>
          <w:szCs w:val="32"/>
        </w:rPr>
      </w:pPr>
      <w:bookmarkStart w:id="21" w:name="_Toc40794982"/>
      <w:bookmarkStart w:id="22" w:name="_Toc46309853"/>
      <w:bookmarkStart w:id="23" w:name="_Toc85363105"/>
      <w:bookmarkStart w:id="24" w:name="_Toc40893490"/>
      <w:bookmarkStart w:id="25" w:name="_Toc26532404"/>
      <w:bookmarkStart w:id="26" w:name="_Toc21440423"/>
      <w:bookmarkStart w:id="27" w:name="_Toc40794978"/>
      <w:r w:rsidRPr="004624C7">
        <w:rPr>
          <w:rFonts w:ascii="仿宋" w:eastAsia="仿宋" w:hAnsi="仿宋" w:hint="eastAsia"/>
          <w:sz w:val="32"/>
          <w:szCs w:val="32"/>
        </w:rPr>
        <w:t>4、渗透测试</w:t>
      </w:r>
      <w:bookmarkEnd w:id="21"/>
      <w:r w:rsidRPr="004624C7">
        <w:rPr>
          <w:rFonts w:ascii="仿宋" w:eastAsia="仿宋" w:hAnsi="仿宋" w:hint="eastAsia"/>
          <w:sz w:val="32"/>
          <w:szCs w:val="32"/>
        </w:rPr>
        <w:t>要求</w:t>
      </w:r>
      <w:bookmarkEnd w:id="22"/>
      <w:bookmarkEnd w:id="23"/>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对信息系统中的主机操作系统、数据库系统、应用系统</w:t>
      </w:r>
      <w:r w:rsidRPr="004624C7">
        <w:rPr>
          <w:rFonts w:ascii="仿宋" w:eastAsia="仿宋" w:hAnsi="仿宋" w:hint="eastAsia"/>
          <w:sz w:val="32"/>
          <w:szCs w:val="32"/>
        </w:rPr>
        <w:lastRenderedPageBreak/>
        <w:t>等进行模拟攻击测试，在保证整个渗透测试过程都在可以控制和调整的范围之内，尽可能的获取目标信息系统的管理权限以及敏感信息，以查找和分析安全漏洞和隐患。每次渗透测试后出具正式的分析报告和解决方案。</w:t>
      </w:r>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5、服务要求</w:t>
      </w:r>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由具备注册渗透测试资质和专业能力认证的工程师现场部署渗透环境，通过真实模拟黑客使用的工具、分析方法来对网站进行模拟攻击，并结合智能工具扫描结果，进行深入的人工测试和分析，识别工具弱点扫描无法发现的问题，主要分析内容包括逻辑缺陷、上传绕过、输入输出校验绕过、数据篡改、功能绕过、异常错误等以及其他专项内容测试与分析。</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渗透测试后出具正式的分析报告和解决方案，针对渗透测试出的问题、漏洞、缺陷等，完成整改及后续验证工作，每项渗透内容报告需要包括问题整改和验证的过程记录及详细的解决方案。</w:t>
      </w:r>
    </w:p>
    <w:p w:rsidR="00696F21" w:rsidRPr="004624C7" w:rsidRDefault="00696F21" w:rsidP="00F302D1">
      <w:pPr>
        <w:ind w:firstLineChars="200" w:firstLine="640"/>
        <w:rPr>
          <w:rFonts w:ascii="仿宋" w:eastAsia="仿宋" w:hAnsi="仿宋"/>
          <w:sz w:val="32"/>
          <w:szCs w:val="32"/>
        </w:rPr>
      </w:pPr>
      <w:bookmarkStart w:id="28" w:name="_Toc40794980"/>
      <w:bookmarkStart w:id="29" w:name="_Toc21440425"/>
      <w:bookmarkStart w:id="30" w:name="_Toc26532406"/>
      <w:bookmarkStart w:id="31" w:name="_Toc40893492"/>
      <w:bookmarkStart w:id="32" w:name="_Toc85363106"/>
      <w:bookmarkEnd w:id="24"/>
      <w:bookmarkEnd w:id="25"/>
      <w:bookmarkEnd w:id="26"/>
      <w:bookmarkEnd w:id="27"/>
      <w:r w:rsidRPr="004624C7">
        <w:rPr>
          <w:rFonts w:ascii="仿宋" w:eastAsia="仿宋" w:hAnsi="仿宋" w:hint="eastAsia"/>
          <w:sz w:val="32"/>
          <w:szCs w:val="32"/>
        </w:rPr>
        <w:t>6、安全培训</w:t>
      </w:r>
      <w:bookmarkEnd w:id="28"/>
      <w:bookmarkEnd w:id="29"/>
      <w:bookmarkEnd w:id="30"/>
      <w:r w:rsidRPr="004624C7">
        <w:rPr>
          <w:rFonts w:ascii="仿宋" w:eastAsia="仿宋" w:hAnsi="仿宋" w:hint="eastAsia"/>
          <w:sz w:val="32"/>
          <w:szCs w:val="32"/>
        </w:rPr>
        <w:t>要求</w:t>
      </w:r>
      <w:bookmarkEnd w:id="31"/>
      <w:bookmarkEnd w:id="32"/>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面向全员的安全意识培训：结合企业信息安全保障的重点，着重提高所有人员的信息安全意识和技能，对人员理解信息安全对机构的意义，开展信息安全工作，在机构内逐步建立和融入信息安全文化，提高整体信息安全防护水平。</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面向技术人员的安全技术培训：对信息化技术人员培训重点</w:t>
      </w:r>
      <w:r w:rsidRPr="004624C7">
        <w:rPr>
          <w:rFonts w:ascii="仿宋" w:eastAsia="仿宋" w:hAnsi="仿宋" w:hint="eastAsia"/>
          <w:sz w:val="32"/>
          <w:szCs w:val="32"/>
        </w:rPr>
        <w:lastRenderedPageBreak/>
        <w:t>是熟悉网络安全技术、了解各种常用安全产品的原理，能正确使用解决方案中的各种安全产品，以达到最佳的安全保障效果。主要的培训内容包括安全域培训、入侵检测技术、漏洞发现技术，安全产品管理、用户管理策略、日志分析方法、故障诊断和维护等。</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面向技术主管与管理层的管理体系培训：对技术主管和管理层的培训重点是信息安全知识体系和安全意识的，目的是使管理人员在了解了信息安全知识体系的基础之上，注意到使用信息系统的风险，并使他们关注降低风险的对策。</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网络攻防实训：针对常见的网络攻防技术手段，组织用户动手实践，使用户深刻理解网络攻防的基本理论，掌握常用的网络攻防技术手段和工具软件，具备能够科学合理地提升单位网络安全水平、独立处理日常信息系统运</w:t>
      </w:r>
      <w:proofErr w:type="gramStart"/>
      <w:r w:rsidRPr="004624C7">
        <w:rPr>
          <w:rFonts w:ascii="仿宋" w:eastAsia="仿宋" w:hAnsi="仿宋" w:hint="eastAsia"/>
          <w:sz w:val="32"/>
          <w:szCs w:val="32"/>
        </w:rPr>
        <w:t>维过程</w:t>
      </w:r>
      <w:proofErr w:type="gramEnd"/>
      <w:r w:rsidRPr="004624C7">
        <w:rPr>
          <w:rFonts w:ascii="仿宋" w:eastAsia="仿宋" w:hAnsi="仿宋" w:hint="eastAsia"/>
          <w:sz w:val="32"/>
          <w:szCs w:val="32"/>
        </w:rPr>
        <w:t>中可能出现的安全事件的能力。</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培训师资要求：讲师需具备良好的教育背景、受过专业的技术培训、拥有丰富的行业信息安全等级保护测评工作经验。</w:t>
      </w:r>
    </w:p>
    <w:p w:rsidR="00696F21" w:rsidRPr="004624C7" w:rsidRDefault="00696F21" w:rsidP="00F302D1">
      <w:pPr>
        <w:ind w:firstLineChars="200" w:firstLine="640"/>
        <w:rPr>
          <w:rFonts w:ascii="仿宋" w:eastAsia="仿宋" w:hAnsi="仿宋"/>
          <w:sz w:val="32"/>
          <w:szCs w:val="32"/>
        </w:rPr>
      </w:pPr>
      <w:bookmarkStart w:id="33" w:name="_Toc85363107"/>
      <w:r w:rsidRPr="004624C7">
        <w:rPr>
          <w:rFonts w:ascii="仿宋" w:eastAsia="仿宋" w:hAnsi="仿宋" w:hint="eastAsia"/>
          <w:sz w:val="32"/>
          <w:szCs w:val="32"/>
        </w:rPr>
        <w:t>7、安全咨询要求</w:t>
      </w:r>
      <w:bookmarkEnd w:id="33"/>
    </w:p>
    <w:p w:rsidR="00696F21" w:rsidRPr="004624C7" w:rsidRDefault="00696F21" w:rsidP="004624C7">
      <w:pPr>
        <w:rPr>
          <w:rFonts w:ascii="仿宋" w:eastAsia="仿宋" w:hAnsi="仿宋"/>
          <w:sz w:val="32"/>
          <w:szCs w:val="32"/>
        </w:rPr>
      </w:pPr>
      <w:bookmarkStart w:id="34" w:name="_Hlk26705526"/>
      <w:r w:rsidRPr="004624C7">
        <w:rPr>
          <w:rFonts w:ascii="仿宋" w:eastAsia="仿宋" w:hAnsi="仿宋" w:hint="eastAsia"/>
          <w:sz w:val="32"/>
          <w:szCs w:val="32"/>
        </w:rPr>
        <w:t>安全服务机构建立专业团队对网络安全现状进行调研、梳理，按照国家等级保护三级要求、行业网络安全要求及信息安全规划，以ISO27000、ITIL系列标准以及国际、国内最佳实践为指导，提供信息安全等级保护等相关安全咨询服务，保证本项目建设期内持续性、连续性安全需求。咨询服务内容</w:t>
      </w:r>
      <w:r w:rsidRPr="004624C7">
        <w:rPr>
          <w:rFonts w:ascii="仿宋" w:eastAsia="仿宋" w:hAnsi="仿宋" w:hint="eastAsia"/>
          <w:sz w:val="32"/>
          <w:szCs w:val="32"/>
        </w:rPr>
        <w:lastRenderedPageBreak/>
        <w:t>包括：安全风险评估、安全需求分析、安全方案设计、安全集成、安全监控和运维等安全工程类信息安全服务咨询；系统定级、备案、测评、建设整改等咨询；信息技术服务管理体系、信息安全管理体系认证等合</w:t>
      </w:r>
      <w:proofErr w:type="gramStart"/>
      <w:r w:rsidRPr="004624C7">
        <w:rPr>
          <w:rFonts w:ascii="仿宋" w:eastAsia="仿宋" w:hAnsi="仿宋" w:hint="eastAsia"/>
          <w:sz w:val="32"/>
          <w:szCs w:val="32"/>
        </w:rPr>
        <w:t>规</w:t>
      </w:r>
      <w:proofErr w:type="gramEnd"/>
      <w:r w:rsidRPr="004624C7">
        <w:rPr>
          <w:rFonts w:ascii="仿宋" w:eastAsia="仿宋" w:hAnsi="仿宋" w:hint="eastAsia"/>
          <w:sz w:val="32"/>
          <w:szCs w:val="32"/>
        </w:rPr>
        <w:t>咨询。</w:t>
      </w:r>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8、服务要求</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依据</w:t>
      </w:r>
      <w:proofErr w:type="gramStart"/>
      <w:r w:rsidRPr="004624C7">
        <w:rPr>
          <w:rFonts w:ascii="仿宋" w:eastAsia="仿宋" w:hAnsi="仿宋" w:hint="eastAsia"/>
          <w:sz w:val="32"/>
          <w:szCs w:val="32"/>
        </w:rPr>
        <w:t>前期等保测评</w:t>
      </w:r>
      <w:proofErr w:type="gramEnd"/>
      <w:r w:rsidRPr="004624C7">
        <w:rPr>
          <w:rFonts w:ascii="仿宋" w:eastAsia="仿宋" w:hAnsi="仿宋" w:hint="eastAsia"/>
          <w:sz w:val="32"/>
          <w:szCs w:val="32"/>
        </w:rPr>
        <w:t>结果，结合监管部门要求、国家等级保护制度要求以及信息</w:t>
      </w:r>
      <w:proofErr w:type="gramStart"/>
      <w:r w:rsidRPr="004624C7">
        <w:rPr>
          <w:rFonts w:ascii="仿宋" w:eastAsia="仿宋" w:hAnsi="仿宋" w:hint="eastAsia"/>
          <w:sz w:val="32"/>
          <w:szCs w:val="32"/>
        </w:rPr>
        <w:t>安全发展</w:t>
      </w:r>
      <w:proofErr w:type="gramEnd"/>
      <w:r w:rsidRPr="004624C7">
        <w:rPr>
          <w:rFonts w:ascii="仿宋" w:eastAsia="仿宋" w:hAnsi="仿宋" w:hint="eastAsia"/>
          <w:sz w:val="32"/>
          <w:szCs w:val="32"/>
        </w:rPr>
        <w:t>方向，提供满足未来三至五年信息安全管理体系建设规划。</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安全管理体系建设规划要求能够落地，明确信息安全管理的方针、目标和对象。在信息安全管理标准框架下，通过制订各项信息安全管理制度，规范信息安全日常管理工作，切实提高信息安全基础管理水平，实现制度化、流程化、体系化的管理思想。</w:t>
      </w:r>
      <w:bookmarkEnd w:id="34"/>
    </w:p>
    <w:p w:rsidR="00696F21" w:rsidRPr="004624C7" w:rsidRDefault="00696F21" w:rsidP="00F302D1">
      <w:pPr>
        <w:ind w:firstLineChars="200" w:firstLine="640"/>
        <w:rPr>
          <w:rFonts w:ascii="仿宋" w:eastAsia="仿宋" w:hAnsi="仿宋"/>
          <w:sz w:val="32"/>
          <w:szCs w:val="32"/>
        </w:rPr>
      </w:pPr>
      <w:bookmarkStart w:id="35" w:name="_Toc85363108"/>
      <w:r w:rsidRPr="004624C7">
        <w:rPr>
          <w:rFonts w:ascii="仿宋" w:eastAsia="仿宋" w:hAnsi="仿宋" w:hint="eastAsia"/>
          <w:sz w:val="32"/>
          <w:szCs w:val="32"/>
        </w:rPr>
        <w:t>9、应急响应要求</w:t>
      </w:r>
      <w:bookmarkEnd w:id="35"/>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为</w:t>
      </w:r>
      <w:r w:rsidR="000F5843" w:rsidRPr="004624C7">
        <w:rPr>
          <w:rFonts w:ascii="仿宋" w:eastAsia="仿宋" w:hAnsi="仿宋" w:hint="eastAsia"/>
          <w:sz w:val="32"/>
          <w:szCs w:val="32"/>
        </w:rPr>
        <w:t>新蔡县</w:t>
      </w:r>
      <w:r w:rsidRPr="004624C7">
        <w:rPr>
          <w:rFonts w:ascii="仿宋" w:eastAsia="仿宋" w:hAnsi="仿宋" w:hint="eastAsia"/>
          <w:sz w:val="32"/>
          <w:szCs w:val="32"/>
        </w:rPr>
        <w:t>人民法院建立安全应急预案，遇到重大安全事件如网络入侵、大规模病毒爆发、遭受拒绝服务攻击等，无法及时对该事件进行处理或解决时，需供应商安排专业技术人员以7*24小时远程、电话、邮件及现场等方式提供应急响应支持，快速恢复系统的保密性、完整性和可用性，阻止和降低安全威胁事件带来的严重性影响，查明安全事件原因，确定安全事件的威胁和破坏的严重程度，并根据对事件的分析及原因提供相应的解决方案。</w:t>
      </w:r>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lastRenderedPageBreak/>
        <w:t>10、服务要求</w:t>
      </w:r>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在发现安全事件时，须及时判断安全事件的级别。针对严重的安全事件，对安全事件进行紧急分析处理、灾难恢复和和入侵追踪和取证，并出具应急响应报告（含加固建议）。</w:t>
      </w:r>
    </w:p>
    <w:p w:rsidR="00696F21" w:rsidRPr="004624C7" w:rsidRDefault="00696F21" w:rsidP="004624C7">
      <w:pPr>
        <w:rPr>
          <w:rFonts w:ascii="仿宋" w:eastAsia="仿宋" w:hAnsi="仿宋"/>
          <w:sz w:val="32"/>
          <w:szCs w:val="32"/>
        </w:rPr>
      </w:pPr>
      <w:r w:rsidRPr="004624C7">
        <w:rPr>
          <w:rFonts w:ascii="仿宋" w:eastAsia="仿宋" w:hAnsi="仿宋" w:hint="eastAsia"/>
          <w:sz w:val="32"/>
          <w:szCs w:val="32"/>
        </w:rPr>
        <w:t>建立长期稳定的本地专业安全服务团队，并通过专业认证，在发生重大安全事件时，在半小时内提供现场应急响应；在发生一般安全事件时，一小时内提供现场应急响应。</w:t>
      </w:r>
    </w:p>
    <w:p w:rsidR="00696F21" w:rsidRPr="004624C7" w:rsidRDefault="00696F21" w:rsidP="00F302D1">
      <w:pPr>
        <w:ind w:firstLineChars="200" w:firstLine="640"/>
        <w:rPr>
          <w:rFonts w:ascii="仿宋" w:eastAsia="仿宋" w:hAnsi="仿宋"/>
          <w:sz w:val="32"/>
          <w:szCs w:val="32"/>
        </w:rPr>
      </w:pPr>
      <w:bookmarkStart w:id="36" w:name="_Toc85363110"/>
      <w:r w:rsidRPr="004624C7">
        <w:rPr>
          <w:rFonts w:ascii="仿宋" w:eastAsia="仿宋" w:hAnsi="仿宋" w:hint="eastAsia"/>
          <w:sz w:val="32"/>
          <w:szCs w:val="32"/>
        </w:rPr>
        <w:t>五、项目成果</w:t>
      </w:r>
      <w:bookmarkEnd w:id="36"/>
    </w:p>
    <w:p w:rsidR="00696F21" w:rsidRPr="004624C7" w:rsidRDefault="00696F21" w:rsidP="00F302D1">
      <w:pPr>
        <w:ind w:firstLineChars="200" w:firstLine="640"/>
        <w:rPr>
          <w:rFonts w:ascii="仿宋" w:eastAsia="仿宋" w:hAnsi="仿宋"/>
          <w:sz w:val="32"/>
          <w:szCs w:val="32"/>
        </w:rPr>
      </w:pPr>
      <w:r w:rsidRPr="004624C7">
        <w:rPr>
          <w:rFonts w:ascii="仿宋" w:eastAsia="仿宋" w:hAnsi="仿宋" w:hint="eastAsia"/>
          <w:sz w:val="32"/>
          <w:szCs w:val="32"/>
        </w:rPr>
        <w:t>1、《网络安全等级保护测评报告》</w:t>
      </w:r>
    </w:p>
    <w:p w:rsidR="00696F21" w:rsidRPr="004624C7" w:rsidRDefault="0086010D" w:rsidP="00F302D1">
      <w:pPr>
        <w:ind w:firstLineChars="200" w:firstLine="640"/>
        <w:rPr>
          <w:rFonts w:ascii="仿宋" w:eastAsia="仿宋" w:hAnsi="仿宋"/>
          <w:sz w:val="32"/>
          <w:szCs w:val="32"/>
        </w:rPr>
      </w:pPr>
      <w:r w:rsidRPr="004624C7">
        <w:rPr>
          <w:rFonts w:ascii="仿宋" w:eastAsia="仿宋" w:hAnsi="仿宋"/>
          <w:sz w:val="32"/>
          <w:szCs w:val="32"/>
        </w:rPr>
        <w:t>2</w:t>
      </w:r>
      <w:r w:rsidR="00696F21" w:rsidRPr="004624C7">
        <w:rPr>
          <w:rFonts w:ascii="仿宋" w:eastAsia="仿宋" w:hAnsi="仿宋" w:hint="eastAsia"/>
          <w:sz w:val="32"/>
          <w:szCs w:val="32"/>
        </w:rPr>
        <w:t>、</w:t>
      </w:r>
      <w:r w:rsidRPr="004624C7">
        <w:rPr>
          <w:rFonts w:ascii="仿宋" w:eastAsia="仿宋" w:hAnsi="仿宋" w:hint="eastAsia"/>
          <w:sz w:val="32"/>
          <w:szCs w:val="32"/>
        </w:rPr>
        <w:t>《信息系统安全等级保护备案证明》</w:t>
      </w:r>
      <w:r w:rsidR="00696F21" w:rsidRPr="004624C7">
        <w:rPr>
          <w:rFonts w:ascii="仿宋" w:eastAsia="仿宋" w:hAnsi="仿宋" w:hint="eastAsia"/>
          <w:sz w:val="32"/>
          <w:szCs w:val="32"/>
        </w:rPr>
        <w:t>。</w:t>
      </w:r>
      <w:bookmarkStart w:id="37" w:name="10.售后服务"/>
      <w:bookmarkEnd w:id="37"/>
    </w:p>
    <w:p w:rsidR="00696F21" w:rsidRPr="004624C7" w:rsidRDefault="00696F21" w:rsidP="004624C7">
      <w:pPr>
        <w:rPr>
          <w:rFonts w:ascii="仿宋" w:eastAsia="仿宋" w:hAnsi="仿宋"/>
          <w:sz w:val="32"/>
          <w:szCs w:val="32"/>
        </w:rPr>
      </w:pPr>
    </w:p>
    <w:sectPr w:rsidR="00696F21" w:rsidRPr="004624C7" w:rsidSect="009B10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1BB" w:rsidRDefault="007F41BB" w:rsidP="00696F21">
      <w:r>
        <w:separator/>
      </w:r>
    </w:p>
  </w:endnote>
  <w:endnote w:type="continuationSeparator" w:id="0">
    <w:p w:rsidR="007F41BB" w:rsidRDefault="007F41BB" w:rsidP="00696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1BB" w:rsidRDefault="007F41BB" w:rsidP="00696F21">
      <w:r>
        <w:separator/>
      </w:r>
    </w:p>
  </w:footnote>
  <w:footnote w:type="continuationSeparator" w:id="0">
    <w:p w:rsidR="007F41BB" w:rsidRDefault="007F41BB" w:rsidP="00696F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E2825"/>
    <w:multiLevelType w:val="hybridMultilevel"/>
    <w:tmpl w:val="C1E641C6"/>
    <w:lvl w:ilvl="0" w:tplc="6E62F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5FE8"/>
    <w:rsid w:val="000F5843"/>
    <w:rsid w:val="004624C7"/>
    <w:rsid w:val="00696F21"/>
    <w:rsid w:val="007F41BB"/>
    <w:rsid w:val="00834B72"/>
    <w:rsid w:val="0086010D"/>
    <w:rsid w:val="009B1044"/>
    <w:rsid w:val="00AD3369"/>
    <w:rsid w:val="00CF5FE8"/>
    <w:rsid w:val="00F30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0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F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6F21"/>
    <w:rPr>
      <w:sz w:val="18"/>
      <w:szCs w:val="18"/>
    </w:rPr>
  </w:style>
  <w:style w:type="paragraph" w:styleId="a4">
    <w:name w:val="footer"/>
    <w:basedOn w:val="a"/>
    <w:link w:val="Char0"/>
    <w:uiPriority w:val="99"/>
    <w:unhideWhenUsed/>
    <w:rsid w:val="00696F21"/>
    <w:pPr>
      <w:tabs>
        <w:tab w:val="center" w:pos="4153"/>
        <w:tab w:val="right" w:pos="8306"/>
      </w:tabs>
      <w:snapToGrid w:val="0"/>
      <w:jc w:val="left"/>
    </w:pPr>
    <w:rPr>
      <w:sz w:val="18"/>
      <w:szCs w:val="18"/>
    </w:rPr>
  </w:style>
  <w:style w:type="character" w:customStyle="1" w:styleId="Char0">
    <w:name w:val="页脚 Char"/>
    <w:basedOn w:val="a0"/>
    <w:link w:val="a4"/>
    <w:uiPriority w:val="99"/>
    <w:rsid w:val="00696F21"/>
    <w:rPr>
      <w:sz w:val="18"/>
      <w:szCs w:val="18"/>
    </w:rPr>
  </w:style>
  <w:style w:type="paragraph" w:styleId="a5">
    <w:name w:val="List Paragraph"/>
    <w:basedOn w:val="a"/>
    <w:uiPriority w:val="34"/>
    <w:qFormat/>
    <w:rsid w:val="00696F21"/>
    <w:pPr>
      <w:ind w:firstLineChars="200" w:firstLine="420"/>
    </w:pPr>
  </w:style>
  <w:style w:type="character" w:customStyle="1" w:styleId="CharChar">
    <w:name w:val="*正文 Char Char"/>
    <w:link w:val="a6"/>
    <w:locked/>
    <w:rsid w:val="00696F21"/>
    <w:rPr>
      <w:rFonts w:ascii="微软雅黑" w:eastAsia="微软雅黑" w:hAnsi="微软雅黑"/>
    </w:rPr>
  </w:style>
  <w:style w:type="paragraph" w:customStyle="1" w:styleId="a6">
    <w:name w:val="*正文"/>
    <w:basedOn w:val="a"/>
    <w:next w:val="a"/>
    <w:link w:val="CharChar"/>
    <w:qFormat/>
    <w:rsid w:val="00696F21"/>
    <w:pPr>
      <w:widowControl/>
      <w:ind w:firstLine="482"/>
    </w:pPr>
    <w:rPr>
      <w:rFonts w:ascii="微软雅黑" w:eastAsia="微软雅黑" w:hAnsi="微软雅黑"/>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changjun</dc:creator>
  <cp:keywords/>
  <dc:description/>
  <cp:lastModifiedBy>Administrator</cp:lastModifiedBy>
  <cp:revision>4</cp:revision>
  <dcterms:created xsi:type="dcterms:W3CDTF">2021-11-11T08:19:00Z</dcterms:created>
  <dcterms:modified xsi:type="dcterms:W3CDTF">2021-11-11T08:48:00Z</dcterms:modified>
</cp:coreProperties>
</file>